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B42318"/>
          <w:sz w:val="18"/>
        </w:rPr>
        <w:t>SAMPLE: preview only. This is the opening of the full pack, from impactmojo.in/products/after-action-review-template/</w:t>
      </w:r>
    </w:p>
    <w:tbl>
      <w:tblPr>
        <w:tblW w:type="auto" w:w="0"/>
        <w:jc w:val="left"/>
        <w:tblLayout w:type="fixed"/>
        <w:tblLook w:firstColumn="1" w:firstRow="1" w:lastColumn="0" w:lastRow="0" w:noHBand="0" w:noVBand="1" w:val="04A0"/>
        <w:tblLayout w:type="fixed"/>
        <w:tblBorders>
          <w:top w:val="nil" w:space="0"/>
          <w:left w:val="nil" w:space="0"/>
          <w:bottom w:val="nil" w:space="0"/>
          <w:right w:val="nil" w:space="0"/>
          <w:insideH w:val="nil" w:space="0"/>
          <w:insideV w:val="nil" w:space="0"/>
        </w:tblBorders>
      </w:tblPr>
      <w:tblGrid>
        <w:gridCol w:w="9014"/>
      </w:tblGrid>
      <w:tr>
        <w:tc>
          <w:tcPr>
            <w:tcW w:type="dxa" w:w="9014"/>
            <w:shd w:val="clear" w:color="auto" w:fill="152A49"/>
            <w:tcMar>
              <w:top w:w="260" w:type="dxa"/>
              <w:left w:w="320" w:type="dxa"/>
              <w:bottom w:w="260" w:type="dxa"/>
              <w:right w:w="320" w:type="dxa"/>
            </w:tcMar>
          </w:tcPr>
          <w:p>
            <w:pPr>
              <w:spacing w:before="0" w:after="120" w:line="276" w:lineRule="auto"/>
            </w:pPr>
            <w:r>
              <w:rPr>
                <w:rFonts w:ascii="Calibri" w:hAnsi="Calibri" w:eastAsia="Calibri"/>
                <w:b w:val="0"/>
                <w:i w:val="0"/>
                <w:color w:val="AEBDCC"/>
                <w:sz w:val="17"/>
              </w:rPr>
              <w:t>ImpactMojo  ·  Evaluator's Desk</w:t>
            </w:r>
          </w:p>
          <w:p>
            <w:pPr>
              <w:spacing w:before="0" w:after="80" w:line="276" w:lineRule="auto"/>
            </w:pPr>
            <w:r>
              <w:rPr>
                <w:rFonts w:ascii="Calibri" w:hAnsi="Calibri" w:eastAsia="Calibri"/>
                <w:b/>
                <w:i w:val="0"/>
                <w:color w:val="FFFFFF"/>
                <w:sz w:val="40"/>
              </w:rPr>
              <w:t>After-Action Review Template</w:t>
            </w:r>
          </w:p>
          <w:p>
            <w:pPr>
              <w:spacing w:before="0" w:after="80" w:line="276" w:lineRule="auto"/>
            </w:pPr>
            <w:r>
              <w:rPr>
                <w:rFonts w:ascii="Calibri" w:hAnsi="Calibri" w:eastAsia="Calibri"/>
                <w:b w:val="0"/>
                <w:i w:val="0"/>
                <w:color w:val="0DBEB6"/>
                <w:sz w:val="22"/>
              </w:rPr>
              <w:t>A 90-minute review at the end of an assignment that turns what went wrong and right into changes in how the next one is run</w:t>
            </w:r>
          </w:p>
          <w:p>
            <w:pPr>
              <w:spacing w:before="0" w:after="0" w:line="276" w:lineRule="auto"/>
            </w:pPr>
            <w:r>
              <w:rPr>
                <w:rFonts w:ascii="Calibri" w:hAnsi="Calibri" w:eastAsia="Calibri"/>
                <w:b w:val="0"/>
                <w:i w:val="0"/>
                <w:color w:val="AEBDCC"/>
                <w:sz w:val="17"/>
              </w:rPr>
              <w:t>Template · DOCX · ₹199</w:t>
            </w:r>
          </w:p>
        </w:tc>
      </w:tr>
    </w:tbl>
    <w:p>
      <w:pPr>
        <w:spacing w:before="120" w:after="120" w:line="276" w:lineRule="auto"/>
      </w:pPr>
      <w:r>
        <w:rPr>
          <w:rFonts w:ascii="Calibri" w:hAnsi="Calibri" w:eastAsia="Calibri"/>
          <w:b w:val="0"/>
          <w:i w:val="0"/>
          <w:color w:val="5B6776"/>
          <w:sz w:val="18"/>
        </w:rPr>
        <w:t>Version 1.0   ·   October 2026   ·   Part of the Evaluation Essentials Kit</w:t>
      </w:r>
    </w:p>
    <w:tbl>
      <w:tblPr>
        <w:tblW w:type="auto" w:w="0"/>
        <w:jc w:val="left"/>
        <w:tblLayout w:type="fixed"/>
        <w:tblLook w:firstColumn="1" w:firstRow="1" w:lastColumn="0" w:lastRow="0" w:noHBand="0" w:noVBand="1" w:val="04A0"/>
        <w:tblLayout w:type="fixed"/>
        <w:tblBorders>
          <w:top w:val="single" w:sz="4" w:color="0C8A89" w:space="0"/>
          <w:left w:val="single" w:sz="24" w:color="0C8A89" w:space="0"/>
          <w:bottom w:val="single" w:sz="4" w:color="0C8A89" w:space="0"/>
          <w:right w:val="single" w:sz="4" w:color="0C8A89" w:space="0"/>
          <w:insideH w:val="single" w:sz="4" w:color="0C8A89" w:space="0"/>
          <w:insideV w:val="single" w:sz="4" w:color="0C8A89" w:space="0"/>
        </w:tblBorders>
      </w:tblPr>
      <w:tblGrid>
        <w:gridCol w:w="9014"/>
      </w:tblGrid>
      <w:tr>
        <w:tc>
          <w:tcPr>
            <w:tcW w:type="dxa" w:w="9014"/>
            <w:shd w:val="clear" w:color="auto" w:fill="EAF6F5"/>
            <w:tcMar>
              <w:top w:w="100" w:type="dxa"/>
              <w:left w:w="160" w:type="dxa"/>
              <w:bottom w:w="100" w:type="dxa"/>
              <w:right w:w="160" w:type="dxa"/>
            </w:tcMar>
          </w:tcPr>
          <w:p>
            <w:pPr>
              <w:spacing w:before="0" w:after="60" w:line="276" w:lineRule="auto"/>
            </w:pPr>
            <w:r>
              <w:rPr>
                <w:rFonts w:ascii="Calibri" w:hAnsi="Calibri" w:eastAsia="Calibri"/>
                <w:b/>
                <w:i w:val="0"/>
                <w:color w:val="0C8A89"/>
                <w:sz w:val="17"/>
              </w:rPr>
              <w:t>WHAT IS INSIDE THIS PACK</w:t>
            </w:r>
          </w:p>
          <w:p>
            <w:pPr>
              <w:spacing w:before="0" w:after="60" w:line="276" w:lineRule="auto"/>
            </w:pPr>
            <w:r>
              <w:rPr>
                <w:rFonts w:ascii="Calibri" w:hAnsi="Calibri" w:eastAsia="Calibri"/>
                <w:b/>
                <w:i w:val="0"/>
                <w:color w:val="0F172A"/>
                <w:sz w:val="19"/>
              </w:rPr>
              <w:t>Part A.</w:t>
            </w:r>
            <w:r>
              <w:rPr>
                <w:rFonts w:ascii="Calibri" w:hAnsi="Calibri" w:eastAsia="Calibri"/>
                <w:b w:val="0"/>
                <w:i w:val="0"/>
                <w:color w:val="0F172A"/>
                <w:sz w:val="19"/>
              </w:rPr>
              <w:t xml:space="preserve"> Why most teams skip the review, and what a good one produces.</w:t>
            </w:r>
          </w:p>
          <w:p>
            <w:pPr>
              <w:spacing w:before="0" w:after="60" w:line="276" w:lineRule="auto"/>
            </w:pPr>
            <w:r>
              <w:rPr>
                <w:rFonts w:ascii="Calibri" w:hAnsi="Calibri" w:eastAsia="Calibri"/>
                <w:b/>
                <w:i w:val="0"/>
                <w:color w:val="0F172A"/>
                <w:sz w:val="19"/>
              </w:rPr>
              <w:t>Part B.</w:t>
            </w:r>
            <w:r>
              <w:rPr>
                <w:rFonts w:ascii="Calibri" w:hAnsi="Calibri" w:eastAsia="Calibri"/>
                <w:b w:val="0"/>
                <w:i w:val="0"/>
                <w:color w:val="0F172A"/>
                <w:sz w:val="19"/>
              </w:rPr>
              <w:t xml:space="preserve"> The review in six steps: prepare, set the rules, ask the four questions, rank what you learned, assign changes and record them.</w:t>
            </w:r>
          </w:p>
          <w:p>
            <w:pPr>
              <w:spacing w:before="0" w:after="60" w:line="276" w:lineRule="auto"/>
            </w:pPr>
            <w:r>
              <w:rPr>
                <w:rFonts w:ascii="Calibri" w:hAnsi="Calibri" w:eastAsia="Calibri"/>
                <w:b/>
                <w:i w:val="0"/>
                <w:color w:val="0F172A"/>
                <w:sz w:val="19"/>
              </w:rPr>
              <w:t>Part C.</w:t>
            </w:r>
            <w:r>
              <w:rPr>
                <w:rFonts w:ascii="Calibri" w:hAnsi="Calibri" w:eastAsia="Calibri"/>
                <w:b w:val="0"/>
                <w:i w:val="0"/>
                <w:color w:val="0F172A"/>
                <w:sz w:val="19"/>
              </w:rPr>
              <w:t xml:space="preserve"> Reference assets: prompts by phase of an evaluation, a lessons log, a facilitator script and a glossary.</w:t>
            </w:r>
          </w:p>
          <w:p>
            <w:pPr>
              <w:spacing w:before="0" w:after="60" w:line="276" w:lineRule="auto"/>
            </w:pPr>
            <w:r>
              <w:rPr>
                <w:rFonts w:ascii="Calibri" w:hAnsi="Calibri" w:eastAsia="Calibri"/>
                <w:b/>
                <w:i w:val="0"/>
                <w:color w:val="0F172A"/>
                <w:sz w:val="19"/>
              </w:rPr>
              <w:t>Part D.</w:t>
            </w:r>
            <w:r>
              <w:rPr>
                <w:rFonts w:ascii="Calibri" w:hAnsi="Calibri" w:eastAsia="Calibri"/>
                <w:b w:val="0"/>
                <w:i w:val="0"/>
                <w:color w:val="0F172A"/>
                <w:sz w:val="19"/>
              </w:rPr>
              <w:t xml:space="preserve"> A worked example: a review of a 13-week maternal and newborn health evaluation.</w:t>
            </w:r>
          </w:p>
        </w:tc>
      </w:tr>
    </w:tbl>
    <w:p>
      <w:pPr>
        <w:spacing w:after="40"/>
      </w:pPr>
    </w:p>
    <w:p>
      <w:pPr>
        <w:spacing w:before="0" w:after="80" w:line="276" w:lineRule="auto"/>
      </w:pPr>
      <w:r>
        <w:rPr>
          <w:rFonts w:ascii="Calibri" w:hAnsi="Calibri" w:eastAsia="Calibri"/>
          <w:b w:val="0"/>
          <w:i w:val="0"/>
          <w:color w:val="5B6776"/>
          <w:sz w:val="19"/>
        </w:rPr>
        <w:t>Replace every [bracketed prompt]. An after-action review looks backwards in order to change what the team does next. It is a conversation among the people who did the work. It is no performance appraisal and no report to the client. Keep notes short and keep the changes few.</w:t>
      </w:r>
    </w:p>
    <w:p>
      <w:pPr>
        <w:keepNext/>
        <w:spacing w:before="280" w:after="0" w:line="276" w:lineRule="auto"/>
      </w:pPr>
      <w:r>
        <w:rPr>
          <w:rFonts w:ascii="Calibri" w:hAnsi="Calibri" w:eastAsia="Calibri"/>
          <w:b/>
          <w:i w:val="0"/>
          <w:color w:val="0C8A89"/>
          <w:sz w:val="18"/>
        </w:rPr>
        <w:t>PART A</w:t>
      </w:r>
    </w:p>
    <w:p>
      <w:pPr>
        <w:keepNext/>
        <w:spacing w:before="0" w:after="120" w:line="276" w:lineRule="auto"/>
      </w:pPr>
      <w:r>
        <w:rPr>
          <w:rFonts w:ascii="Calibri" w:hAnsi="Calibri" w:eastAsia="Calibri"/>
          <w:b/>
          <w:i w:val="0"/>
          <w:color w:val="152A49"/>
          <w:sz w:val="32"/>
        </w:rPr>
        <w:t>Why review at the end</w:t>
      </w:r>
    </w:p>
    <w:p>
      <w:pPr>
        <w:spacing w:before="0" w:after="100" w:line="276" w:lineRule="auto"/>
      </w:pPr>
      <w:r>
        <w:rPr>
          <w:rFonts w:ascii="Calibri" w:hAnsi="Calibri" w:eastAsia="Calibri"/>
          <w:b w:val="0"/>
          <w:i w:val="0"/>
          <w:color w:val="0F172A"/>
          <w:sz w:val="21"/>
        </w:rPr>
        <w:t>An evaluation ends with a submitted report and an invoice, and the team moves on to the next assignment. What the team learned about its own work leaves with it: the instrument that took three rounds to get right, the field partner who delivered, the review process that cost a month. Six months later, a new team makes the same mistakes.</w:t>
      </w:r>
    </w:p>
    <w:p>
      <w:pPr>
        <w:spacing w:before="0" w:after="100" w:line="276" w:lineRule="auto"/>
      </w:pPr>
      <w:r>
        <w:rPr>
          <w:rFonts w:ascii="Calibri" w:hAnsi="Calibri" w:eastAsia="Calibri"/>
          <w:b w:val="0"/>
          <w:i w:val="0"/>
          <w:color w:val="0F172A"/>
          <w:sz w:val="21"/>
        </w:rPr>
        <w:t>An after-action review is a structured conversation held soon after the work ends. The method comes from military practice and is now used widely in public health and humanitarian work. It asks four plain questions. What did we expect to happen? What actually happened? Why was there a difference? What will we do the same, and what will we change?</w:t>
      </w:r>
    </w:p>
    <w:p>
      <w:pPr>
        <w:spacing w:before="0" w:after="100" w:line="276" w:lineRule="auto"/>
      </w:pPr>
      <w:r>
        <w:rPr>
          <w:rFonts w:ascii="Calibri" w:hAnsi="Calibri" w:eastAsia="Calibri"/>
          <w:b w:val="0"/>
          <w:i w:val="0"/>
          <w:color w:val="0F172A"/>
          <w:sz w:val="21"/>
        </w:rPr>
        <w:t>The review works when it is quick, honest and followed by action. It fails when it becomes a hunt for someone to blame, when it produces a long list nobody reads, or when nothing changes afterwards.</w:t>
      </w:r>
    </w:p>
    <w:p>
      <w:pPr>
        <w:spacing w:before="0" w:after="100" w:line="276" w:lineRule="auto"/>
      </w:pPr>
      <w:r>
        <w:rPr>
          <w:rFonts w:ascii="Calibri" w:hAnsi="Calibri" w:eastAsia="Calibri"/>
          <w:b w:val="0"/>
          <w:i w:val="0"/>
          <w:color w:val="0F172A"/>
          <w:sz w:val="21"/>
        </w:rPr>
        <w:t>Three rules to keep:</w:t>
      </w:r>
    </w:p>
    <w:p>
      <w:pPr>
        <w:pStyle w:val="ListBullet"/>
        <w:spacing w:before="0" w:after="40" w:line="276" w:lineRule="auto"/>
      </w:pPr>
      <w:r>
        <w:rPr>
          <w:rFonts w:ascii="Calibri" w:hAnsi="Calibri" w:eastAsia="Calibri"/>
          <w:b w:val="0"/>
          <w:i w:val="0"/>
          <w:color w:val="0F172A"/>
          <w:sz w:val="21"/>
        </w:rPr>
        <w:t>Hold it within two weeks of finishing, while memory is fresh.</w:t>
      </w:r>
    </w:p>
    <w:p>
      <w:pPr>
        <w:pStyle w:val="ListBullet"/>
        <w:spacing w:before="0" w:after="40" w:line="276" w:lineRule="auto"/>
      </w:pPr>
      <w:r>
        <w:rPr>
          <w:rFonts w:ascii="Calibri" w:hAnsi="Calibri" w:eastAsia="Calibri"/>
          <w:b w:val="0"/>
          <w:i w:val="0"/>
          <w:color w:val="0F172A"/>
          <w:sz w:val="21"/>
        </w:rPr>
        <w:t>Invite everyone who did the work, including field staff and the person who did the invoicing.</w:t>
      </w:r>
    </w:p>
    <w:p>
      <w:pPr>
        <w:pStyle w:val="ListBullet"/>
        <w:spacing w:before="0" w:after="40" w:line="276" w:lineRule="auto"/>
      </w:pPr>
      <w:r>
        <w:rPr>
          <w:rFonts w:ascii="Calibri" w:hAnsi="Calibri" w:eastAsia="Calibri"/>
          <w:b w:val="0"/>
          <w:i w:val="0"/>
          <w:color w:val="0F172A"/>
          <w:sz w:val="21"/>
        </w:rPr>
        <w:t>Leave with no more than five changes, each with an owner and a date.</w:t>
      </w:r>
    </w:p>
    <w:p>
      <w:pPr>
        <w:keepNext/>
        <w:spacing w:before="280" w:after="0" w:line="276" w:lineRule="auto"/>
      </w:pPr>
      <w:r>
        <w:rPr>
          <w:rFonts w:ascii="Calibri" w:hAnsi="Calibri" w:eastAsia="Calibri"/>
          <w:b/>
          <w:i w:val="0"/>
          <w:color w:val="0C8A89"/>
          <w:sz w:val="18"/>
        </w:rPr>
        <w:t>PART B</w:t>
      </w:r>
    </w:p>
    <w:p>
      <w:pPr>
        <w:keepNext/>
        <w:spacing w:before="0" w:after="120" w:line="276" w:lineRule="auto"/>
      </w:pPr>
      <w:r>
        <w:rPr>
          <w:rFonts w:ascii="Calibri" w:hAnsi="Calibri" w:eastAsia="Calibri"/>
          <w:b/>
          <w:i w:val="0"/>
          <w:color w:val="152A49"/>
          <w:sz w:val="32"/>
        </w:rPr>
        <w:t>The review</w:t>
      </w:r>
    </w:p>
    <w:p>
      <w:pPr>
        <w:keepNext/>
        <w:spacing w:before="200" w:after="40" w:line="276" w:lineRule="auto"/>
      </w:pPr>
      <w:r>
        <w:rPr>
          <w:rFonts w:ascii="Calibri" w:hAnsi="Calibri" w:eastAsia="Calibri"/>
          <w:b/>
          <w:i w:val="0"/>
          <w:color w:val="152A49"/>
          <w:sz w:val="23"/>
        </w:rPr>
        <w:t>1.  Prepare</w:t>
      </w:r>
    </w:p>
    <w:p>
      <w:pPr>
        <w:spacing w:before="0" w:after="60" w:line="276" w:lineRule="auto"/>
      </w:pPr>
      <w:r>
        <w:rPr>
          <w:rFonts w:ascii="Calibri" w:hAnsi="Calibri" w:eastAsia="Calibri"/>
          <w:b/>
          <w:i w:val="0"/>
          <w:color w:val="0C8A89"/>
          <w:sz w:val="20"/>
        </w:rPr>
        <w:t xml:space="preserve">What this section is for.  </w:t>
      </w:r>
      <w:r>
        <w:rPr>
          <w:rFonts w:ascii="Calibri" w:hAnsi="Calibri" w:eastAsia="Calibri"/>
          <w:b w:val="0"/>
          <w:i w:val="0"/>
          <w:color w:val="0F172A"/>
          <w:sz w:val="20"/>
        </w:rPr>
        <w:t>Make sure the right people are in the room with the right information.</w:t>
      </w:r>
    </w:p>
    <w:p>
      <w:pPr>
        <w:spacing w:before="0" w:after="80" w:line="276" w:lineRule="auto"/>
      </w:pPr>
      <w:r>
        <w:rPr>
          <w:rFonts w:ascii="Calibri" w:hAnsi="Calibri" w:eastAsia="Calibri"/>
          <w:b w:val="0"/>
          <w:i w:val="0"/>
          <w:color w:val="5B6776"/>
          <w:sz w:val="19"/>
        </w:rPr>
        <w:t>Gather the plan (the inception report and the schedule), the actual dates and the budget outcome. Ask each person to think about two things before the meeting: one moment that went better than planned and one that went worse.</w:t>
      </w:r>
    </w:p>
    <w:tbl>
      <w:tblPr>
        <w:tblW w:type="auto" w:w="0"/>
        <w:jc w:val="left"/>
        <w:tblLayout w:type="fixed"/>
        <w:tblLook w:firstColumn="1" w:firstRow="1" w:lastColumn="0" w:lastRow="0" w:noHBand="0" w:noVBand="1" w:val="04A0"/>
        <w:tblLayout w:type="fixed"/>
        <w:tblBorders>
          <w:top w:val="single" w:sz="4" w:color="C9D2DD" w:space="0"/>
          <w:left w:val="single" w:sz="4" w:color="C9D2DD" w:space="0"/>
          <w:bottom w:val="single" w:sz="4" w:color="C9D2DD" w:space="0"/>
          <w:right w:val="single" w:sz="4" w:color="C9D2DD" w:space="0"/>
          <w:insideH w:val="single" w:sz="4" w:color="C9D2DD" w:space="0"/>
          <w:insideV w:val="single" w:sz="4" w:color="C9D2DD" w:space="0"/>
        </w:tblBorders>
      </w:tblPr>
      <w:tblGrid>
        <w:gridCol w:w="2948"/>
        <w:gridCol w:w="6066"/>
      </w:tblGrid>
      <w:tr>
        <w:trPr>
          <w:tblHeader w:val="true"/>
        </w:trPr>
        <w:tc>
          <w:tcPr>
            <w:tcW w:type="dxa" w:w="2948"/>
            <w:shd w:val="clear" w:color="auto" w:fill="152A49"/>
            <w:tcMar>
              <w:top w:w="70" w:type="dxa"/>
              <w:left w:w="100" w:type="dxa"/>
              <w:bottom w:w="70" w:type="dxa"/>
              <w:right w:w="100" w:type="dxa"/>
            </w:tcMar>
          </w:tcPr>
          <w:p>
            <w:r>
              <w:rPr>
                <w:rFonts w:ascii="Calibri" w:hAnsi="Calibri" w:eastAsia="Calibri"/>
                <w:b/>
                <w:i w:val="0"/>
                <w:color w:val="FFFFFF"/>
                <w:sz w:val="19"/>
              </w:rPr>
              <w:t>Field</w:t>
            </w:r>
          </w:p>
        </w:tc>
        <w:tc>
          <w:tcPr>
            <w:tcW w:type="dxa" w:w="6066"/>
            <w:shd w:val="clear" w:color="auto" w:fill="152A49"/>
            <w:tcMar>
              <w:top w:w="70" w:type="dxa"/>
              <w:left w:w="100" w:type="dxa"/>
              <w:bottom w:w="70" w:type="dxa"/>
              <w:right w:w="100" w:type="dxa"/>
            </w:tcMar>
          </w:tcPr>
          <w:p>
            <w:r>
              <w:rPr>
                <w:rFonts w:ascii="Calibri" w:hAnsi="Calibri" w:eastAsia="Calibri"/>
                <w:b/>
                <w:i w:val="0"/>
                <w:color w:val="FFFFFF"/>
                <w:sz w:val="19"/>
              </w:rPr>
              <w:t>Entry</w:t>
            </w:r>
          </w:p>
        </w:tc>
      </w:tr>
      <w:tr>
        <w:tc>
          <w:tcPr>
            <w:tcW w:type="dxa" w:w="2948"/>
            <w:shd w:val="clear" w:color="auto" w:fill="FFFFFF"/>
            <w:tcMar>
              <w:top w:w="60" w:type="dxa"/>
              <w:left w:w="100" w:type="dxa"/>
              <w:bottom w:w="60" w:type="dxa"/>
              <w:right w:w="100" w:type="dxa"/>
            </w:tcMar>
          </w:tcPr>
          <w:p>
            <w:r>
              <w:rPr>
                <w:rFonts w:ascii="Calibri" w:hAnsi="Calibri" w:eastAsia="Calibri"/>
                <w:b w:val="0"/>
                <w:i w:val="0"/>
                <w:color w:val="0F172A"/>
                <w:sz w:val="18"/>
              </w:rPr>
              <w:t>Assignment</w:t>
            </w:r>
          </w:p>
        </w:tc>
        <w:tc>
          <w:tcPr>
            <w:tcW w:type="dxa" w:w="6066"/>
            <w:shd w:val="clear" w:color="auto" w:fill="FFFFFF"/>
            <w:tcMar>
              <w:top w:w="60" w:type="dxa"/>
              <w:left w:w="100" w:type="dxa"/>
              <w:bottom w:w="60" w:type="dxa"/>
              <w:right w:w="100" w:type="dxa"/>
            </w:tcMar>
          </w:tcPr>
          <w:p>
            <w:r>
              <w:rPr>
                <w:rFonts w:ascii="Calibri" w:hAnsi="Calibri" w:eastAsia="Calibri"/>
                <w:b w:val="0"/>
                <w:i w:val="0"/>
                <w:color w:val="0F172A"/>
                <w:sz w:val="18"/>
              </w:rPr>
              <w:t>[ ]</w:t>
            </w:r>
          </w:p>
        </w:tc>
      </w:tr>
      <w:tr>
        <w:tc>
          <w:tcPr>
            <w:tcW w:type="dxa" w:w="2948"/>
            <w:shd w:val="clear" w:color="auto" w:fill="F2F6F8"/>
            <w:tcMar>
              <w:top w:w="60" w:type="dxa"/>
              <w:left w:w="100" w:type="dxa"/>
              <w:bottom w:w="60" w:type="dxa"/>
              <w:right w:w="100" w:type="dxa"/>
            </w:tcMar>
          </w:tcPr>
          <w:p>
            <w:r>
              <w:rPr>
                <w:rFonts w:ascii="Calibri" w:hAnsi="Calibri" w:eastAsia="Calibri"/>
                <w:b w:val="0"/>
                <w:i w:val="0"/>
                <w:color w:val="0F172A"/>
                <w:sz w:val="18"/>
              </w:rPr>
              <w:t>Date and venue</w:t>
            </w:r>
          </w:p>
        </w:tc>
        <w:tc>
          <w:tcPr>
            <w:tcW w:type="dxa" w:w="6066"/>
            <w:shd w:val="clear" w:color="auto" w:fill="F2F6F8"/>
            <w:tcMar>
              <w:top w:w="60" w:type="dxa"/>
              <w:left w:w="100" w:type="dxa"/>
              <w:bottom w:w="60" w:type="dxa"/>
              <w:right w:w="100" w:type="dxa"/>
            </w:tcMar>
          </w:tcPr>
          <w:p>
            <w:r>
              <w:rPr>
                <w:rFonts w:ascii="Calibri" w:hAnsi="Calibri" w:eastAsia="Calibri"/>
                <w:b w:val="0"/>
                <w:i w:val="0"/>
                <w:color w:val="0F172A"/>
                <w:sz w:val="18"/>
              </w:rPr>
              <w:t>[ ]</w:t>
            </w:r>
          </w:p>
        </w:tc>
      </w:tr>
      <w:tr>
        <w:tc>
          <w:tcPr>
            <w:tcW w:type="dxa" w:w="2948"/>
            <w:shd w:val="clear" w:color="auto" w:fill="FFFFFF"/>
            <w:tcMar>
              <w:top w:w="60" w:type="dxa"/>
              <w:left w:w="100" w:type="dxa"/>
              <w:bottom w:w="60" w:type="dxa"/>
              <w:right w:w="100" w:type="dxa"/>
            </w:tcMar>
          </w:tcPr>
          <w:p>
            <w:r>
              <w:rPr>
                <w:rFonts w:ascii="Calibri" w:hAnsi="Calibri" w:eastAsia="Calibri"/>
                <w:b w:val="0"/>
                <w:i w:val="0"/>
                <w:color w:val="0F172A"/>
                <w:sz w:val="18"/>
              </w:rPr>
              <w:t>Participants</w:t>
            </w:r>
          </w:p>
        </w:tc>
        <w:tc>
          <w:tcPr>
            <w:tcW w:type="dxa" w:w="6066"/>
            <w:shd w:val="clear" w:color="auto" w:fill="FFFFFF"/>
            <w:tcMar>
              <w:top w:w="60" w:type="dxa"/>
              <w:left w:w="100" w:type="dxa"/>
              <w:bottom w:w="60" w:type="dxa"/>
              <w:right w:w="100" w:type="dxa"/>
            </w:tcMar>
          </w:tcPr>
          <w:p>
            <w:r>
              <w:rPr>
                <w:rFonts w:ascii="Calibri" w:hAnsi="Calibri" w:eastAsia="Calibri"/>
                <w:b w:val="0"/>
                <w:i w:val="0"/>
                <w:color w:val="0F172A"/>
                <w:sz w:val="18"/>
              </w:rPr>
              <w:t>[ ]</w:t>
            </w:r>
          </w:p>
        </w:tc>
      </w:tr>
      <w:tr>
        <w:tc>
          <w:tcPr>
            <w:tcW w:type="dxa" w:w="2948"/>
            <w:shd w:val="clear" w:color="auto" w:fill="F2F6F8"/>
            <w:tcMar>
              <w:top w:w="60" w:type="dxa"/>
              <w:left w:w="100" w:type="dxa"/>
              <w:bottom w:w="60" w:type="dxa"/>
              <w:right w:w="100" w:type="dxa"/>
            </w:tcMar>
          </w:tcPr>
          <w:p>
            <w:r>
              <w:rPr>
                <w:rFonts w:ascii="Calibri" w:hAnsi="Calibri" w:eastAsia="Calibri"/>
                <w:b w:val="0"/>
                <w:i w:val="0"/>
                <w:color w:val="0F172A"/>
                <w:sz w:val="18"/>
              </w:rPr>
              <w:t>Facilitator (not the evaluation lead) and note-taker</w:t>
            </w:r>
          </w:p>
        </w:tc>
        <w:tc>
          <w:tcPr>
            <w:tcW w:type="dxa" w:w="6066"/>
            <w:shd w:val="clear" w:color="auto" w:fill="F2F6F8"/>
            <w:tcMar>
              <w:top w:w="60" w:type="dxa"/>
              <w:left w:w="100" w:type="dxa"/>
              <w:bottom w:w="60" w:type="dxa"/>
              <w:right w:w="100" w:type="dxa"/>
            </w:tcMar>
          </w:tcPr>
          <w:p>
            <w:r>
              <w:rPr>
                <w:rFonts w:ascii="Calibri" w:hAnsi="Calibri" w:eastAsia="Calibri"/>
                <w:b w:val="0"/>
                <w:i w:val="0"/>
                <w:color w:val="0F172A"/>
                <w:sz w:val="18"/>
              </w:rPr>
              <w:t>[ ]</w:t>
            </w:r>
          </w:p>
        </w:tc>
      </w:tr>
      <w:tr>
        <w:tc>
          <w:tcPr>
            <w:tcW w:type="dxa" w:w="2948"/>
            <w:shd w:val="clear" w:color="auto" w:fill="FFFFFF"/>
            <w:tcMar>
              <w:top w:w="60" w:type="dxa"/>
              <w:left w:w="100" w:type="dxa"/>
              <w:bottom w:w="60" w:type="dxa"/>
              <w:right w:w="100" w:type="dxa"/>
            </w:tcMar>
          </w:tcPr>
          <w:p>
            <w:r>
              <w:rPr>
                <w:rFonts w:ascii="Calibri" w:hAnsi="Calibri" w:eastAsia="Calibri"/>
                <w:b w:val="0"/>
                <w:i w:val="0"/>
                <w:color w:val="0F172A"/>
                <w:sz w:val="18"/>
              </w:rPr>
              <w:t>Documents to bring</w:t>
            </w:r>
          </w:p>
        </w:tc>
        <w:tc>
          <w:tcPr>
            <w:tcW w:type="dxa" w:w="6066"/>
            <w:shd w:val="clear" w:color="auto" w:fill="FFFFFF"/>
            <w:tcMar>
              <w:top w:w="60" w:type="dxa"/>
              <w:left w:w="100" w:type="dxa"/>
              <w:bottom w:w="60" w:type="dxa"/>
              <w:right w:w="100" w:type="dxa"/>
            </w:tcMar>
          </w:tcPr>
          <w:p>
            <w:r>
              <w:rPr>
                <w:rFonts w:ascii="Calibri" w:hAnsi="Calibri" w:eastAsia="Calibri"/>
                <w:b w:val="0"/>
                <w:i w:val="0"/>
                <w:color w:val="0F172A"/>
                <w:sz w:val="18"/>
              </w:rPr>
              <w:t>[Plan, actual schedule, budget outcome, the client's feedback]</w:t>
            </w:r>
          </w:p>
        </w:tc>
      </w:tr>
    </w:tbl>
    <w:p>
      <w:pPr>
        <w:spacing w:after="40"/>
      </w:pPr>
    </w:p>
    <w:tbl>
      <w:tblPr>
        <w:tblW w:type="auto" w:w="0"/>
        <w:jc w:val="left"/>
        <w:tblLayout w:type="fixed"/>
        <w:tblLook w:firstColumn="1" w:firstRow="1" w:lastColumn="0" w:lastRow="0" w:noHBand="0" w:noVBand="1" w:val="04A0"/>
        <w:tblLayout w:type="fixed"/>
        <w:tblBorders>
          <w:top w:val="single" w:sz="4" w:color="1FAE63" w:space="0"/>
          <w:left w:val="single" w:sz="24" w:color="1FAE63" w:space="0"/>
          <w:bottom w:val="single" w:sz="4" w:color="1FAE63" w:space="0"/>
          <w:right w:val="single" w:sz="4" w:color="1FAE63" w:space="0"/>
          <w:insideH w:val="single" w:sz="4" w:color="1FAE63" w:space="0"/>
          <w:insideV w:val="single" w:sz="4" w:color="1FAE63" w:space="0"/>
        </w:tblBorders>
      </w:tblPr>
      <w:tblGrid>
        <w:gridCol w:w="9014"/>
      </w:tblGrid>
      <w:tr>
        <w:tc>
          <w:tcPr>
            <w:tcW w:type="dxa" w:w="9014"/>
            <w:shd w:val="clear" w:color="auto" w:fill="EAF7EF"/>
            <w:tcMar>
              <w:top w:w="100" w:type="dxa"/>
              <w:left w:w="160" w:type="dxa"/>
              <w:bottom w:w="100" w:type="dxa"/>
              <w:right w:w="160" w:type="dxa"/>
            </w:tcMar>
          </w:tcPr>
          <w:p>
            <w:pPr>
              <w:spacing w:before="0" w:after="60" w:line="276" w:lineRule="auto"/>
            </w:pPr>
            <w:r>
              <w:rPr>
                <w:rFonts w:ascii="Calibri" w:hAnsi="Calibri" w:eastAsia="Calibri"/>
                <w:b/>
                <w:i w:val="0"/>
                <w:color w:val="14703F"/>
                <w:sz w:val="17"/>
              </w:rPr>
              <w:t>WHAT GOOD LOOKS LIKE</w:t>
            </w:r>
          </w:p>
          <w:p>
            <w:pPr>
              <w:spacing w:before="0" w:after="60" w:line="276" w:lineRule="auto"/>
            </w:pPr>
            <w:r>
              <w:rPr>
                <w:rFonts w:ascii="Calibri" w:hAnsi="Calibri" w:eastAsia="Calibri"/>
                <w:b w:val="0"/>
                <w:i w:val="0"/>
                <w:color w:val="0F172A"/>
                <w:sz w:val="19"/>
              </w:rPr>
              <w:t>The facilitator is someone who can ask questions without defending the project.</w:t>
            </w:r>
          </w:p>
        </w:tc>
      </w:tr>
    </w:tbl>
    <w:p>
      <w:pPr>
        <w:spacing w:after="40"/>
      </w:pPr>
    </w:p>
    <w:tbl>
      <w:tblPr>
        <w:tblW w:type="auto" w:w="0"/>
        <w:jc w:val="left"/>
        <w:tblLayout w:type="fixed"/>
        <w:tblLook w:firstColumn="1" w:firstRow="1" w:lastColumn="0" w:lastRow="0" w:noHBand="0" w:noVBand="1" w:val="04A0"/>
        <w:tblLayout w:type="fixed"/>
        <w:tblBorders>
          <w:top w:val="single" w:sz="4" w:color="E0A800" w:space="0"/>
          <w:left w:val="single" w:sz="24" w:color="E0A800" w:space="0"/>
          <w:bottom w:val="single" w:sz="4" w:color="E0A800" w:space="0"/>
          <w:right w:val="single" w:sz="4" w:color="E0A800" w:space="0"/>
          <w:insideH w:val="single" w:sz="4" w:color="E0A800" w:space="0"/>
          <w:insideV w:val="single" w:sz="4" w:color="E0A800" w:space="0"/>
        </w:tblBorders>
      </w:tblPr>
      <w:tblGrid>
        <w:gridCol w:w="9014"/>
      </w:tblGrid>
      <w:tr>
        <w:tc>
          <w:tcPr>
            <w:tcW w:type="dxa" w:w="9014"/>
            <w:shd w:val="clear" w:color="auto" w:fill="FFF7E6"/>
            <w:tcMar>
              <w:top w:w="100" w:type="dxa"/>
              <w:left w:w="160" w:type="dxa"/>
              <w:bottom w:w="100" w:type="dxa"/>
              <w:right w:w="160" w:type="dxa"/>
            </w:tcMar>
          </w:tcPr>
          <w:p>
            <w:pPr>
              <w:spacing w:before="0" w:after="60" w:line="276" w:lineRule="auto"/>
            </w:pPr>
            <w:r>
              <w:rPr>
                <w:rFonts w:ascii="Calibri" w:hAnsi="Calibri" w:eastAsia="Calibri"/>
                <w:b/>
                <w:i w:val="0"/>
                <w:color w:val="8A6100"/>
                <w:sz w:val="17"/>
              </w:rPr>
              <w:t>COMMON MISTAKES</w:t>
            </w:r>
          </w:p>
          <w:p>
            <w:pPr>
              <w:spacing w:before="0" w:after="60" w:line="276" w:lineRule="auto"/>
            </w:pPr>
            <w:r>
              <w:rPr>
                <w:rFonts w:ascii="Calibri" w:hAnsi="Calibri" w:eastAsia="Calibri"/>
                <w:b w:val="0"/>
                <w:i w:val="0"/>
                <w:color w:val="0F172A"/>
                <w:sz w:val="19"/>
              </w:rPr>
              <w:t>Letting the project lead run the session and so close down the harder answers.</w:t>
            </w:r>
          </w:p>
        </w:tc>
      </w:tr>
    </w:tbl>
    <w:p>
      <w:pPr>
        <w:spacing w:after="40"/>
      </w:pPr>
    </w:p>
    <w:p>
      <w:pPr>
        <w:keepNext/>
        <w:spacing w:before="200" w:after="40" w:line="276" w:lineRule="auto"/>
      </w:pPr>
      <w:r>
        <w:rPr>
          <w:rFonts w:ascii="Calibri" w:hAnsi="Calibri" w:eastAsia="Calibri"/>
          <w:b/>
          <w:i w:val="0"/>
          <w:color w:val="152A49"/>
          <w:sz w:val="23"/>
        </w:rPr>
        <w:t>2.  Set the rules</w:t>
      </w:r>
    </w:p>
    <w:p>
      <w:pPr>
        <w:spacing w:before="0" w:after="60" w:line="276" w:lineRule="auto"/>
      </w:pPr>
      <w:r>
        <w:rPr>
          <w:rFonts w:ascii="Calibri" w:hAnsi="Calibri" w:eastAsia="Calibri"/>
          <w:b/>
          <w:i w:val="0"/>
          <w:color w:val="0C8A89"/>
          <w:sz w:val="20"/>
        </w:rPr>
        <w:t xml:space="preserve">What this section is for.  </w:t>
      </w:r>
      <w:r>
        <w:rPr>
          <w:rFonts w:ascii="Calibri" w:hAnsi="Calibri" w:eastAsia="Calibri"/>
          <w:b w:val="0"/>
          <w:i w:val="0"/>
          <w:color w:val="0F172A"/>
          <w:sz w:val="20"/>
        </w:rPr>
        <w:t>Make it safe to say what happened.</w:t>
      </w:r>
    </w:p>
    <w:p>
      <w:pPr>
        <w:pStyle w:val="ListBullet"/>
        <w:spacing w:before="0" w:after="40" w:line="276" w:lineRule="auto"/>
      </w:pPr>
      <w:r>
        <w:rPr>
          <w:rFonts w:ascii="Calibri" w:hAnsi="Calibri" w:eastAsia="Calibri"/>
          <w:b w:val="0"/>
          <w:i w:val="0"/>
          <w:color w:val="0F172A"/>
          <w:sz w:val="21"/>
        </w:rPr>
        <w:t>We are here to learn about the work, and not about individuals.</w:t>
      </w:r>
    </w:p>
    <w:p>
      <w:pPr>
        <w:pStyle w:val="ListBullet"/>
        <w:spacing w:before="0" w:after="40" w:line="276" w:lineRule="auto"/>
      </w:pPr>
      <w:r>
        <w:rPr>
          <w:rFonts w:ascii="Calibri" w:hAnsi="Calibri" w:eastAsia="Calibri"/>
          <w:b w:val="0"/>
          <w:i w:val="0"/>
          <w:color w:val="0F172A"/>
          <w:sz w:val="21"/>
        </w:rPr>
        <w:t>Every view counts, whatever the person's role.</w:t>
      </w:r>
    </w:p>
    <w:p>
      <w:pPr>
        <w:pStyle w:val="ListBullet"/>
        <w:spacing w:before="0" w:after="40" w:line="276" w:lineRule="auto"/>
      </w:pPr>
      <w:r>
        <w:rPr>
          <w:rFonts w:ascii="Calibri" w:hAnsi="Calibri" w:eastAsia="Calibri"/>
          <w:b w:val="0"/>
          <w:i w:val="0"/>
          <w:color w:val="0F172A"/>
          <w:sz w:val="21"/>
        </w:rPr>
        <w:t>We say what happened and we do not guess at motives.</w:t>
      </w:r>
    </w:p>
    <w:p>
      <w:pPr>
        <w:pStyle w:val="ListBullet"/>
        <w:spacing w:before="0" w:after="40" w:line="276" w:lineRule="auto"/>
      </w:pPr>
      <w:r>
        <w:rPr>
          <w:rFonts w:ascii="Calibri" w:hAnsi="Calibri" w:eastAsia="Calibri"/>
          <w:b w:val="0"/>
          <w:i w:val="0"/>
          <w:color w:val="0F172A"/>
          <w:sz w:val="21"/>
        </w:rPr>
        <w:t>What is said stays in the room. The lessons leave it.</w:t>
      </w:r>
    </w:p>
    <w:tbl>
      <w:tblPr>
        <w:tblW w:type="auto" w:w="0"/>
        <w:jc w:val="left"/>
        <w:tblLayout w:type="fixed"/>
        <w:tblLook w:firstColumn="1" w:firstRow="1" w:lastColumn="0" w:lastRow="0" w:noHBand="0" w:noVBand="1" w:val="04A0"/>
        <w:tblLayout w:type="fixed"/>
        <w:tblBorders>
          <w:top w:val="single" w:sz="4" w:color="1FAE63" w:space="0"/>
          <w:left w:val="single" w:sz="24" w:color="1FAE63" w:space="0"/>
          <w:bottom w:val="single" w:sz="4" w:color="1FAE63" w:space="0"/>
          <w:right w:val="single" w:sz="4" w:color="1FAE63" w:space="0"/>
          <w:insideH w:val="single" w:sz="4" w:color="1FAE63" w:space="0"/>
          <w:insideV w:val="single" w:sz="4" w:color="1FAE63" w:space="0"/>
        </w:tblBorders>
      </w:tblPr>
      <w:tblGrid>
        <w:gridCol w:w="9014"/>
      </w:tblGrid>
      <w:tr>
        <w:tc>
          <w:tcPr>
            <w:tcW w:type="dxa" w:w="9014"/>
            <w:shd w:val="clear" w:color="auto" w:fill="EAF7EF"/>
            <w:tcMar>
              <w:top w:w="100" w:type="dxa"/>
              <w:left w:w="160" w:type="dxa"/>
              <w:bottom w:w="100" w:type="dxa"/>
              <w:right w:w="160" w:type="dxa"/>
            </w:tcMar>
          </w:tcPr>
          <w:p>
            <w:pPr>
              <w:spacing w:before="0" w:after="60" w:line="276" w:lineRule="auto"/>
            </w:pPr>
            <w:r>
              <w:rPr>
                <w:rFonts w:ascii="Calibri" w:hAnsi="Calibri" w:eastAsia="Calibri"/>
                <w:b/>
                <w:i w:val="0"/>
                <w:color w:val="14703F"/>
                <w:sz w:val="17"/>
              </w:rPr>
              <w:t>WHAT GOOD LOOKS LIKE</w:t>
            </w:r>
          </w:p>
          <w:p>
            <w:pPr>
              <w:spacing w:before="0" w:after="60" w:line="276" w:lineRule="auto"/>
            </w:pPr>
            <w:r>
              <w:rPr>
                <w:rFonts w:ascii="Calibri" w:hAnsi="Calibri" w:eastAsia="Calibri"/>
                <w:b w:val="0"/>
                <w:i w:val="0"/>
                <w:color w:val="0F172A"/>
                <w:sz w:val="19"/>
              </w:rPr>
              <w:t>The facilitator reads the rules aloud and the lead agrees to them first.</w:t>
            </w:r>
          </w:p>
        </w:tc>
      </w:tr>
    </w:tbl>
    <w:p>
      <w:pPr>
        <w:spacing w:after="40"/>
      </w:pPr>
    </w:p>
    <w:tbl>
      <w:tblPr>
        <w:tblW w:type="auto" w:w="0"/>
        <w:jc w:val="left"/>
        <w:tblLayout w:type="fixed"/>
        <w:tblLook w:firstColumn="1" w:firstRow="1" w:lastColumn="0" w:lastRow="0" w:noHBand="0" w:noVBand="1" w:val="04A0"/>
        <w:tblLayout w:type="fixed"/>
        <w:tblBorders>
          <w:top w:val="single" w:sz="4" w:color="E0A800" w:space="0"/>
          <w:left w:val="single" w:sz="24" w:color="E0A800" w:space="0"/>
          <w:bottom w:val="single" w:sz="4" w:color="E0A800" w:space="0"/>
          <w:right w:val="single" w:sz="4" w:color="E0A800" w:space="0"/>
          <w:insideH w:val="single" w:sz="4" w:color="E0A800" w:space="0"/>
          <w:insideV w:val="single" w:sz="4" w:color="E0A800" w:space="0"/>
        </w:tblBorders>
      </w:tblPr>
      <w:tblGrid>
        <w:gridCol w:w="9014"/>
      </w:tblGrid>
      <w:tr>
        <w:tc>
          <w:tcPr>
            <w:tcW w:type="dxa" w:w="9014"/>
            <w:shd w:val="clear" w:color="auto" w:fill="FFF7E6"/>
            <w:tcMar>
              <w:top w:w="100" w:type="dxa"/>
              <w:left w:w="160" w:type="dxa"/>
              <w:bottom w:w="100" w:type="dxa"/>
              <w:right w:w="160" w:type="dxa"/>
            </w:tcMar>
          </w:tcPr>
          <w:p>
            <w:pPr>
              <w:spacing w:before="0" w:after="60" w:line="276" w:lineRule="auto"/>
            </w:pPr>
            <w:r>
              <w:rPr>
                <w:rFonts w:ascii="Calibri" w:hAnsi="Calibri" w:eastAsia="Calibri"/>
                <w:b/>
                <w:i w:val="0"/>
                <w:color w:val="8A6100"/>
                <w:sz w:val="17"/>
              </w:rPr>
              <w:t>COMMON MISTAKES</w:t>
            </w:r>
          </w:p>
          <w:p>
            <w:pPr>
              <w:spacing w:before="0" w:after="60" w:line="276" w:lineRule="auto"/>
            </w:pPr>
            <w:r>
              <w:rPr>
                <w:rFonts w:ascii="Calibri" w:hAnsi="Calibri" w:eastAsia="Calibri"/>
                <w:b w:val="0"/>
                <w:i w:val="0"/>
                <w:color w:val="0F172A"/>
                <w:sz w:val="19"/>
              </w:rPr>
              <w:t>A review where junior staff watch the lead talk for an hour.</w:t>
            </w:r>
          </w:p>
        </w:tc>
      </w:tr>
    </w:tbl>
    <w:p>
      <w:r>
        <w:rPr>
          <w:i/>
          <w:sz w:val="18"/>
        </w:rPr>
        <w:t>Sample ends here. The full pack and its worked example arrive clean and fully editable after purchase.</w:t>
      </w:r>
    </w:p>
    <w:sectPr w:rsidR="00FC693F" w:rsidRPr="0006063C" w:rsidSect="00034616">
      <w:footerReference w:type="default" r:id="rId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Calibri" w:hAnsi="Calibri" w:eastAsia="Calibri"/>
        <w:b w:val="0"/>
        <w:i w:val="0"/>
        <w:color w:val="5B6776"/>
        <w:sz w:val="15"/>
      </w:rPr>
      <w:t xml:space="preserve">© 2026 ImpactMojo · CC BY-NC-ND 4.0 · impactmojo.in        Page </w:t>
    </w:r>
    <w:r>
      <w:rPr>
        <w:rFonts w:ascii="Calibri" w:hAnsi="Calibri" w:eastAsia="Calibri"/>
        <w:b w:val="0"/>
        <w:i w:val="0"/>
        <w:color w:val="5B6776"/>
        <w:sz w:val="15"/>
      </w:rPr>
      <w:fldChar w:fldCharType="begin"/>
      <w:instrText xml:space="preserve">PAGE</w:instrText>
      <w:fldChar w:fldCharType="separate"/>
      <w:fldChar w:fldCharType="end"/>
    </w:r>
    <w:r>
      <w:rPr>
        <w:rFonts w:ascii="Calibri" w:hAnsi="Calibri" w:eastAsia="Calibri"/>
        <w:b w:val="0"/>
        <w:i w:val="0"/>
        <w:color w:val="5B6776"/>
        <w:sz w:val="15"/>
      </w:rPr>
      <w:t xml:space="preserve"> of </w:t>
    </w:r>
    <w:r>
      <w:rPr>
        <w:rFonts w:ascii="Calibri" w:hAnsi="Calibri" w:eastAsia="Calibri"/>
        <w:b w:val="0"/>
        <w:i w:val="0"/>
        <w:color w:val="5B6776"/>
        <w:sz w:val="15"/>
      </w:rPr>
      <w:fldChar w:fldCharType="begin"/>
      <w:instrText xml:space="preserve">NUMPAGES</w:instrText>
      <w:fldChar w:fldCharType="separate"/>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