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2318"/>
          <w:sz w:val="18"/>
        </w:rPr>
        <w:t>SAMPLE: preview only. This is the opening of the full pack, from impactmojo.in/products/engagement-charter-template/</w:t>
      </w:r>
    </w:p>
    <w:tbl>
      <w:tblPr>
        <w:tblW w:type="auto" w:w="0"/>
        <w:jc w:val="left"/>
        <w:tblLayout w:type="fixed"/>
        <w:tblLook w:firstColumn="1" w:firstRow="1" w:lastColumn="0" w:lastRow="0" w:noHBand="0" w:noVBand="1" w:val="04A0"/>
        <w:tblLayout w:type="fixed"/>
        <w:tblBorders>
          <w:top w:val="nil" w:space="0"/>
          <w:left w:val="nil" w:space="0"/>
          <w:bottom w:val="nil" w:space="0"/>
          <w:right w:val="nil" w:space="0"/>
          <w:insideH w:val="nil" w:space="0"/>
          <w:insideV w:val="nil" w:space="0"/>
        </w:tblBorders>
      </w:tblPr>
      <w:tblGrid>
        <w:gridCol w:w="9014"/>
      </w:tblGrid>
      <w:tr>
        <w:tc>
          <w:tcPr>
            <w:tcW w:type="dxa" w:w="9014"/>
            <w:shd w:val="clear" w:color="auto" w:fill="152A49"/>
            <w:tcMar>
              <w:top w:w="260" w:type="dxa"/>
              <w:left w:w="320" w:type="dxa"/>
              <w:bottom w:w="260" w:type="dxa"/>
              <w:right w:w="320" w:type="dxa"/>
            </w:tcMar>
          </w:tcPr>
          <w:p>
            <w:pPr>
              <w:spacing w:before="0" w:after="120" w:line="276" w:lineRule="auto"/>
            </w:pPr>
            <w:r>
              <w:rPr>
                <w:rFonts w:ascii="Calibri" w:hAnsi="Calibri" w:eastAsia="Calibri"/>
                <w:b w:val="0"/>
                <w:i w:val="0"/>
                <w:color w:val="AEBDCC"/>
                <w:sz w:val="17"/>
              </w:rPr>
              <w:t>ImpactMojo  ·  Evaluator's Desk</w:t>
            </w:r>
          </w:p>
          <w:p>
            <w:pPr>
              <w:spacing w:before="0" w:after="80" w:line="276" w:lineRule="auto"/>
            </w:pPr>
            <w:r>
              <w:rPr>
                <w:rFonts w:ascii="Calibri" w:hAnsi="Calibri" w:eastAsia="Calibri"/>
                <w:b/>
                <w:i w:val="0"/>
                <w:color w:val="FFFFFF"/>
                <w:sz w:val="40"/>
              </w:rPr>
              <w:t>Engagement Charter &amp; Independence Declaration</w:t>
            </w:r>
          </w:p>
          <w:p>
            <w:pPr>
              <w:spacing w:before="0" w:after="80" w:line="276" w:lineRule="auto"/>
            </w:pPr>
            <w:r>
              <w:rPr>
                <w:rFonts w:ascii="Calibri" w:hAnsi="Calibri" w:eastAsia="Calibri"/>
                <w:b w:val="0"/>
                <w:i w:val="0"/>
                <w:color w:val="0DBEB6"/>
                <w:sz w:val="22"/>
              </w:rPr>
              <w:t>Two pages the client and the evaluator sign at the start: who decides what, who owns what and what happens when they disagree</w:t>
            </w:r>
          </w:p>
          <w:p>
            <w:pPr>
              <w:spacing w:before="0" w:after="0" w:line="276" w:lineRule="auto"/>
            </w:pPr>
            <w:r>
              <w:rPr>
                <w:rFonts w:ascii="Calibri" w:hAnsi="Calibri" w:eastAsia="Calibri"/>
                <w:b w:val="0"/>
                <w:i w:val="0"/>
                <w:color w:val="AEBDCC"/>
                <w:sz w:val="17"/>
              </w:rPr>
              <w:t>Template · DOCX · ₹199</w:t>
            </w:r>
          </w:p>
        </w:tc>
      </w:tr>
    </w:tbl>
    <w:p>
      <w:pPr>
        <w:spacing w:before="120" w:after="120" w:line="276" w:lineRule="auto"/>
      </w:pPr>
      <w:r>
        <w:rPr>
          <w:rFonts w:ascii="Calibri" w:hAnsi="Calibri" w:eastAsia="Calibri"/>
          <w:b w:val="0"/>
          <w:i w:val="0"/>
          <w:color w:val="5B6776"/>
          <w:sz w:val="18"/>
        </w:rPr>
        <w:t>Version 1.0   ·   October 2026   ·   Part of the Evaluation Essentials Kit</w:t>
      </w:r>
    </w:p>
    <w:tbl>
      <w:tblPr>
        <w:tblW w:type="auto" w:w="0"/>
        <w:jc w:val="left"/>
        <w:tblLayout w:type="fixed"/>
        <w:tblLook w:firstColumn="1" w:firstRow="1" w:lastColumn="0" w:lastRow="0" w:noHBand="0" w:noVBand="1" w:val="04A0"/>
        <w:tblLayout w:type="fixed"/>
        <w:tblBorders>
          <w:top w:val="single" w:sz="4" w:color="0C8A89" w:space="0"/>
          <w:left w:val="single" w:sz="24" w:color="0C8A89" w:space="0"/>
          <w:bottom w:val="single" w:sz="4" w:color="0C8A89" w:space="0"/>
          <w:right w:val="single" w:sz="4" w:color="0C8A89" w:space="0"/>
          <w:insideH w:val="single" w:sz="4" w:color="0C8A89" w:space="0"/>
          <w:insideV w:val="single" w:sz="4" w:color="0C8A89" w:space="0"/>
        </w:tblBorders>
      </w:tblPr>
      <w:tblGrid>
        <w:gridCol w:w="9014"/>
      </w:tblGrid>
      <w:tr>
        <w:tc>
          <w:tcPr>
            <w:tcW w:type="dxa" w:w="9014"/>
            <w:shd w:val="clear" w:color="auto" w:fill="EAF6F5"/>
            <w:tcMar>
              <w:top w:w="100" w:type="dxa"/>
              <w:left w:w="160" w:type="dxa"/>
              <w:bottom w:w="100" w:type="dxa"/>
              <w:right w:w="160" w:type="dxa"/>
            </w:tcMar>
          </w:tcPr>
          <w:p>
            <w:pPr>
              <w:spacing w:before="0" w:after="60" w:line="276" w:lineRule="auto"/>
            </w:pPr>
            <w:r>
              <w:rPr>
                <w:rFonts w:ascii="Calibri" w:hAnsi="Calibri" w:eastAsia="Calibri"/>
                <w:b/>
                <w:i w:val="0"/>
                <w:color w:val="0C8A89"/>
                <w:sz w:val="17"/>
              </w:rPr>
              <w:t>WHAT IS INSIDE THIS PACK</w:t>
            </w:r>
          </w:p>
          <w:p>
            <w:pPr>
              <w:spacing w:before="0" w:after="60" w:line="276" w:lineRule="auto"/>
            </w:pPr>
            <w:r>
              <w:rPr>
                <w:rFonts w:ascii="Calibri" w:hAnsi="Calibri" w:eastAsia="Calibri"/>
                <w:b/>
                <w:i w:val="0"/>
                <w:color w:val="0F172A"/>
                <w:sz w:val="19"/>
              </w:rPr>
              <w:t>Part A.</w:t>
            </w:r>
            <w:r>
              <w:rPr>
                <w:rFonts w:ascii="Calibri" w:hAnsi="Calibri" w:eastAsia="Calibri"/>
                <w:b w:val="0"/>
                <w:i w:val="0"/>
                <w:color w:val="0F172A"/>
                <w:sz w:val="19"/>
              </w:rPr>
              <w:t xml:space="preserve"> Why a short charter prevents the disputes a long contract does not.</w:t>
            </w:r>
          </w:p>
          <w:p>
            <w:pPr>
              <w:spacing w:before="0" w:after="60" w:line="276" w:lineRule="auto"/>
            </w:pPr>
            <w:r>
              <w:rPr>
                <w:rFonts w:ascii="Calibri" w:hAnsi="Calibri" w:eastAsia="Calibri"/>
                <w:b/>
                <w:i w:val="0"/>
                <w:color w:val="0F172A"/>
                <w:sz w:val="19"/>
              </w:rPr>
              <w:t>Part B.</w:t>
            </w:r>
            <w:r>
              <w:rPr>
                <w:rFonts w:ascii="Calibri" w:hAnsi="Calibri" w:eastAsia="Calibri"/>
                <w:b w:val="0"/>
                <w:i w:val="0"/>
                <w:color w:val="0F172A"/>
                <w:sz w:val="19"/>
              </w:rPr>
              <w:t xml:space="preserve"> The charter in ten sections: purpose, roles, decision rights, independence declaration, ethics, data and confidentiality, ownership and publication, ways of working, escalation and signatures.</w:t>
            </w:r>
          </w:p>
          <w:p>
            <w:pPr>
              <w:spacing w:before="0" w:after="60" w:line="276" w:lineRule="auto"/>
            </w:pPr>
            <w:r>
              <w:rPr>
                <w:rFonts w:ascii="Calibri" w:hAnsi="Calibri" w:eastAsia="Calibri"/>
                <w:b/>
                <w:i w:val="0"/>
                <w:color w:val="0F172A"/>
                <w:sz w:val="19"/>
              </w:rPr>
              <w:t>Part C.</w:t>
            </w:r>
            <w:r>
              <w:rPr>
                <w:rFonts w:ascii="Calibri" w:hAnsi="Calibri" w:eastAsia="Calibri"/>
                <w:b w:val="0"/>
                <w:i w:val="0"/>
                <w:color w:val="0F172A"/>
                <w:sz w:val="19"/>
              </w:rPr>
              <w:t xml:space="preserve"> Reference assets: wording for the independence declaration, an escalation ladder, a meeting rhythm and a glossary.</w:t>
            </w:r>
          </w:p>
          <w:p>
            <w:pPr>
              <w:spacing w:before="0" w:after="60" w:line="276" w:lineRule="auto"/>
            </w:pPr>
            <w:r>
              <w:rPr>
                <w:rFonts w:ascii="Calibri" w:hAnsi="Calibri" w:eastAsia="Calibri"/>
                <w:b/>
                <w:i w:val="0"/>
                <w:color w:val="0F172A"/>
                <w:sz w:val="19"/>
              </w:rPr>
              <w:t>Part D.</w:t>
            </w:r>
            <w:r>
              <w:rPr>
                <w:rFonts w:ascii="Calibri" w:hAnsi="Calibri" w:eastAsia="Calibri"/>
                <w:b w:val="0"/>
                <w:i w:val="0"/>
                <w:color w:val="0F172A"/>
                <w:sz w:val="19"/>
              </w:rPr>
              <w:t xml:space="preserve"> A worked example for the maternal and newborn health evaluation.</w:t>
            </w:r>
          </w:p>
        </w:tc>
      </w:tr>
    </w:tbl>
    <w:p>
      <w:pPr>
        <w:spacing w:after="40"/>
      </w:pPr>
    </w:p>
    <w:p>
      <w:pPr>
        <w:spacing w:before="0" w:after="80" w:line="276" w:lineRule="auto"/>
      </w:pPr>
      <w:r>
        <w:rPr>
          <w:rFonts w:ascii="Calibri" w:hAnsi="Calibri" w:eastAsia="Calibri"/>
          <w:b w:val="0"/>
          <w:i w:val="0"/>
          <w:color w:val="5B6776"/>
          <w:sz w:val="19"/>
        </w:rPr>
        <w:t>Replace every [bracketed prompt]. Keep the grey guidance while drafting and delete it before you send the charter. The charter sits beside the contract. It says in plain words what the contract says in legal ones, and it covers the soft ground the contract skips: how you will work together and what you will do when you disagree. Have a lawyer read the final wording.</w:t>
      </w:r>
    </w:p>
    <w:p>
      <w:pPr>
        <w:keepNext/>
        <w:spacing w:before="280" w:after="0" w:line="276" w:lineRule="auto"/>
      </w:pPr>
      <w:r>
        <w:rPr>
          <w:rFonts w:ascii="Calibri" w:hAnsi="Calibri" w:eastAsia="Calibri"/>
          <w:b/>
          <w:i w:val="0"/>
          <w:color w:val="0C8A89"/>
          <w:sz w:val="18"/>
        </w:rPr>
        <w:t>PART A</w:t>
      </w:r>
    </w:p>
    <w:p>
      <w:pPr>
        <w:keepNext/>
        <w:spacing w:before="0" w:after="120" w:line="276" w:lineRule="auto"/>
      </w:pPr>
      <w:r>
        <w:rPr>
          <w:rFonts w:ascii="Calibri" w:hAnsi="Calibri" w:eastAsia="Calibri"/>
          <w:b/>
          <w:i w:val="0"/>
          <w:color w:val="152A49"/>
          <w:sz w:val="32"/>
        </w:rPr>
        <w:t>Why a short charter helps</w:t>
      </w:r>
    </w:p>
    <w:p>
      <w:pPr>
        <w:spacing w:before="0" w:after="100" w:line="276" w:lineRule="auto"/>
      </w:pPr>
      <w:r>
        <w:rPr>
          <w:rFonts w:ascii="Calibri" w:hAnsi="Calibri" w:eastAsia="Calibri"/>
          <w:b w:val="0"/>
          <w:i w:val="0"/>
          <w:color w:val="0F172A"/>
          <w:sz w:val="21"/>
        </w:rPr>
        <w:t>A contract settles money, scope and liability. It rarely settles the questions that sour an evaluation: who may see a draft first, who decides whether a comment changes a finding, what happens when the programme team and the commissioner disagree, and who may publish what afterwards. Each question is easy to settle in the first week and costly to settle in the last.</w:t>
      </w:r>
    </w:p>
    <w:p>
      <w:pPr>
        <w:spacing w:before="0" w:after="100" w:line="276" w:lineRule="auto"/>
      </w:pPr>
      <w:r>
        <w:rPr>
          <w:rFonts w:ascii="Calibri" w:hAnsi="Calibri" w:eastAsia="Calibri"/>
          <w:b w:val="0"/>
          <w:i w:val="0"/>
          <w:color w:val="0F172A"/>
          <w:sz w:val="21"/>
        </w:rPr>
        <w:t>An engagement charter is two pages the project team can keep on a desk. Both sides sign it, usually the evaluator's lead and the client's contract manager. It does not replace the contract and says so. It names the decision rights, makes the independence declaration, states the ethical commitments and sets the escalation path.</w:t>
      </w:r>
    </w:p>
    <w:p>
      <w:pPr>
        <w:spacing w:before="0" w:after="100" w:line="276" w:lineRule="auto"/>
      </w:pPr>
      <w:r>
        <w:rPr>
          <w:rFonts w:ascii="Calibri" w:hAnsi="Calibri" w:eastAsia="Calibri"/>
          <w:b w:val="0"/>
          <w:i w:val="0"/>
          <w:color w:val="0F172A"/>
          <w:sz w:val="21"/>
        </w:rPr>
        <w:t>Three principles shape it:</w:t>
      </w:r>
    </w:p>
    <w:p>
      <w:pPr>
        <w:pStyle w:val="ListBullet"/>
        <w:spacing w:before="0" w:after="40" w:line="276" w:lineRule="auto"/>
      </w:pPr>
      <w:r>
        <w:rPr>
          <w:rFonts w:ascii="Calibri" w:hAnsi="Calibri" w:eastAsia="Calibri"/>
          <w:b w:val="0"/>
          <w:i w:val="0"/>
          <w:color w:val="0F172A"/>
          <w:sz w:val="21"/>
        </w:rPr>
        <w:t>Write each commitment as something a person does, with a date or a number.</w:t>
      </w:r>
    </w:p>
    <w:p>
      <w:pPr>
        <w:pStyle w:val="ListBullet"/>
        <w:spacing w:before="0" w:after="40" w:line="276" w:lineRule="auto"/>
      </w:pPr>
      <w:r>
        <w:rPr>
          <w:rFonts w:ascii="Calibri" w:hAnsi="Calibri" w:eastAsia="Calibri"/>
          <w:b w:val="0"/>
          <w:i w:val="0"/>
          <w:color w:val="0F172A"/>
          <w:sz w:val="21"/>
        </w:rPr>
        <w:t>Separate facts the client may correct from findings the evaluator decides.</w:t>
      </w:r>
    </w:p>
    <w:p>
      <w:pPr>
        <w:pStyle w:val="ListBullet"/>
        <w:spacing w:before="0" w:after="40" w:line="276" w:lineRule="auto"/>
      </w:pPr>
      <w:r>
        <w:rPr>
          <w:rFonts w:ascii="Calibri" w:hAnsi="Calibri" w:eastAsia="Calibri"/>
          <w:b w:val="0"/>
          <w:i w:val="0"/>
          <w:color w:val="0F172A"/>
          <w:sz w:val="21"/>
        </w:rPr>
        <w:t>State the escalation ladder before anyone is angry.</w:t>
      </w:r>
    </w:p>
    <w:p>
      <w:pPr>
        <w:keepNext/>
        <w:spacing w:before="280" w:after="0" w:line="276" w:lineRule="auto"/>
      </w:pPr>
      <w:r>
        <w:rPr>
          <w:rFonts w:ascii="Calibri" w:hAnsi="Calibri" w:eastAsia="Calibri"/>
          <w:b/>
          <w:i w:val="0"/>
          <w:color w:val="0C8A89"/>
          <w:sz w:val="18"/>
        </w:rPr>
        <w:t>PART B</w:t>
      </w:r>
    </w:p>
    <w:p>
      <w:pPr>
        <w:keepNext/>
        <w:spacing w:before="0" w:after="120" w:line="276" w:lineRule="auto"/>
      </w:pPr>
      <w:r>
        <w:rPr>
          <w:rFonts w:ascii="Calibri" w:hAnsi="Calibri" w:eastAsia="Calibri"/>
          <w:b/>
          <w:i w:val="0"/>
          <w:color w:val="152A49"/>
          <w:sz w:val="32"/>
        </w:rPr>
        <w:t>The charter</w:t>
      </w:r>
    </w:p>
    <w:p>
      <w:pPr>
        <w:keepNext/>
        <w:spacing w:before="200" w:after="40" w:line="276" w:lineRule="auto"/>
      </w:pPr>
      <w:r>
        <w:rPr>
          <w:rFonts w:ascii="Calibri" w:hAnsi="Calibri" w:eastAsia="Calibri"/>
          <w:b/>
          <w:i w:val="0"/>
          <w:color w:val="152A49"/>
          <w:sz w:val="23"/>
        </w:rPr>
        <w:t>1.  Purpose and status</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Say what the charter is, and that the contract prevails if the two differ.</w:t>
      </w:r>
    </w:p>
    <w:p>
      <w:pPr>
        <w:spacing w:before="0" w:after="100" w:line="276" w:lineRule="auto"/>
      </w:pPr>
      <w:r>
        <w:rPr>
          <w:rFonts w:ascii="Calibri" w:hAnsi="Calibri" w:eastAsia="Calibri"/>
          <w:b w:val="0"/>
          <w:i w:val="0"/>
          <w:color w:val="0F172A"/>
          <w:sz w:val="21"/>
        </w:rPr>
        <w:t>This charter records how [evaluator] and [client] will work together on [assignment title]. It does not change the contract dated [date]. If the two differ, the contract prevails.</w:t>
      </w: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The relation to the contract is stated in one sentence.</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A charter that silently contradicts the contract and gives each side an argument.</w:t>
            </w:r>
          </w:p>
        </w:tc>
      </w:tr>
    </w:tbl>
    <w:p>
      <w:pPr>
        <w:spacing w:after="40"/>
      </w:pPr>
    </w:p>
    <w:p>
      <w:pPr>
        <w:keepNext/>
        <w:spacing w:before="200" w:after="40" w:line="276" w:lineRule="auto"/>
      </w:pPr>
      <w:r>
        <w:rPr>
          <w:rFonts w:ascii="Calibri" w:hAnsi="Calibri" w:eastAsia="Calibri"/>
          <w:b/>
          <w:i w:val="0"/>
          <w:color w:val="152A49"/>
          <w:sz w:val="23"/>
        </w:rPr>
        <w:t>2.  Roles</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Name each person and what they do.</w:t>
      </w:r>
    </w:p>
    <w:p>
      <w:pPr>
        <w:spacing w:before="0" w:after="80" w:line="276" w:lineRule="auto"/>
      </w:pPr>
      <w:r>
        <w:rPr>
          <w:rFonts w:ascii="Calibri" w:hAnsi="Calibri" w:eastAsia="Calibri"/>
          <w:b w:val="0"/>
          <w:i w:val="0"/>
          <w:color w:val="5B6776"/>
          <w:sz w:val="19"/>
        </w:rPr>
        <w:t>Keep the table to the people who will actually act. One person may hold two roles. Add the funder if the funder has a role in approval.</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2948"/>
        <w:gridCol w:w="1927"/>
        <w:gridCol w:w="4138"/>
      </w:tblGrid>
      <w:tr>
        <w:trPr>
          <w:tblHeader w:val="true"/>
        </w:trPr>
        <w:tc>
          <w:tcPr>
            <w:tcW w:type="dxa" w:w="2948"/>
            <w:shd w:val="clear" w:color="auto" w:fill="152A49"/>
            <w:tcMar>
              <w:top w:w="70" w:type="dxa"/>
              <w:left w:w="100" w:type="dxa"/>
              <w:bottom w:w="70" w:type="dxa"/>
              <w:right w:w="100" w:type="dxa"/>
            </w:tcMar>
          </w:tcPr>
          <w:p>
            <w:r>
              <w:rPr>
                <w:rFonts w:ascii="Calibri" w:hAnsi="Calibri" w:eastAsia="Calibri"/>
                <w:b/>
                <w:i w:val="0"/>
                <w:color w:val="FFFFFF"/>
                <w:sz w:val="19"/>
              </w:rPr>
              <w:t>Role</w:t>
            </w:r>
          </w:p>
        </w:tc>
        <w:tc>
          <w:tcPr>
            <w:tcW w:type="dxa" w:w="1928"/>
            <w:shd w:val="clear" w:color="auto" w:fill="152A49"/>
            <w:tcMar>
              <w:top w:w="70" w:type="dxa"/>
              <w:left w:w="100" w:type="dxa"/>
              <w:bottom w:w="70" w:type="dxa"/>
              <w:right w:w="100" w:type="dxa"/>
            </w:tcMar>
          </w:tcPr>
          <w:p>
            <w:r>
              <w:rPr>
                <w:rFonts w:ascii="Calibri" w:hAnsi="Calibri" w:eastAsia="Calibri"/>
                <w:b/>
                <w:i w:val="0"/>
                <w:color w:val="FFFFFF"/>
                <w:sz w:val="19"/>
              </w:rPr>
              <w:t>Name</w:t>
            </w:r>
          </w:p>
        </w:tc>
        <w:tc>
          <w:tcPr>
            <w:tcW w:type="dxa" w:w="4139"/>
            <w:shd w:val="clear" w:color="auto" w:fill="152A49"/>
            <w:tcMar>
              <w:top w:w="70" w:type="dxa"/>
              <w:left w:w="100" w:type="dxa"/>
              <w:bottom w:w="70" w:type="dxa"/>
              <w:right w:w="100" w:type="dxa"/>
            </w:tcMar>
          </w:tcPr>
          <w:p>
            <w:r>
              <w:rPr>
                <w:rFonts w:ascii="Calibri" w:hAnsi="Calibri" w:eastAsia="Calibri"/>
                <w:b/>
                <w:i w:val="0"/>
                <w:color w:val="FFFFFF"/>
                <w:sz w:val="19"/>
              </w:rPr>
              <w:t>What they do</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Commissioner (signs the contract)</w:t>
            </w:r>
          </w:p>
        </w:tc>
        <w:tc>
          <w:tcPr>
            <w:tcW w:type="dxa" w:w="1928"/>
            <w:shd w:val="clear" w:color="auto" w:fill="FFFFFF"/>
            <w:tcMar>
              <w:top w:w="60" w:type="dxa"/>
              <w:left w:w="100" w:type="dxa"/>
              <w:bottom w:w="60" w:type="dxa"/>
              <w:right w:w="100" w:type="dxa"/>
            </w:tcMar>
          </w:tcPr>
          <w:p>
            <w:r>
              <w:rPr>
                <w:rFonts w:ascii="Calibri" w:hAnsi="Calibri" w:eastAsia="Calibri"/>
                <w:b w:val="0"/>
                <w:i w:val="0"/>
                <w:color w:val="0F172A"/>
                <w:sz w:val="18"/>
              </w:rPr>
              <w:t>[ ]</w:t>
            </w:r>
          </w:p>
        </w:tc>
        <w:tc>
          <w:tcPr>
            <w:tcW w:type="dxa" w:w="4139"/>
            <w:shd w:val="clear" w:color="auto" w:fill="FFFFFF"/>
            <w:tcMar>
              <w:top w:w="60" w:type="dxa"/>
              <w:left w:w="100" w:type="dxa"/>
              <w:bottom w:w="60" w:type="dxa"/>
              <w:right w:w="100" w:type="dxa"/>
            </w:tcMar>
          </w:tcPr>
          <w:p>
            <w:r>
              <w:rPr>
                <w:rFonts w:ascii="Calibri" w:hAnsi="Calibri" w:eastAsia="Calibri"/>
                <w:b w:val="0"/>
                <w:i w:val="0"/>
                <w:color w:val="0F172A"/>
                <w:sz w:val="18"/>
              </w:rPr>
              <w:t>[Approves deliverables, pays, receives the final report]</w:t>
            </w:r>
          </w:p>
        </w:tc>
      </w:tr>
      <w:tr>
        <w:tc>
          <w:tcPr>
            <w:tcW w:type="dxa" w:w="2948"/>
            <w:shd w:val="clear" w:color="auto" w:fill="F2F6F8"/>
            <w:tcMar>
              <w:top w:w="60" w:type="dxa"/>
              <w:left w:w="100" w:type="dxa"/>
              <w:bottom w:w="60" w:type="dxa"/>
              <w:right w:w="100" w:type="dxa"/>
            </w:tcMar>
          </w:tcPr>
          <w:p>
            <w:r>
              <w:rPr>
                <w:rFonts w:ascii="Calibri" w:hAnsi="Calibri" w:eastAsia="Calibri"/>
                <w:b w:val="0"/>
                <w:i w:val="0"/>
                <w:color w:val="0F172A"/>
                <w:sz w:val="18"/>
              </w:rPr>
              <w:t>Client contract manager</w:t>
            </w:r>
          </w:p>
        </w:tc>
        <w:tc>
          <w:tcPr>
            <w:tcW w:type="dxa" w:w="1928"/>
            <w:shd w:val="clear" w:color="auto" w:fill="F2F6F8"/>
            <w:tcMar>
              <w:top w:w="60" w:type="dxa"/>
              <w:left w:w="100" w:type="dxa"/>
              <w:bottom w:w="60" w:type="dxa"/>
              <w:right w:w="100" w:type="dxa"/>
            </w:tcMar>
          </w:tcPr>
          <w:p>
            <w:r>
              <w:rPr>
                <w:rFonts w:ascii="Calibri" w:hAnsi="Calibri" w:eastAsia="Calibri"/>
                <w:b w:val="0"/>
                <w:i w:val="0"/>
                <w:color w:val="0F172A"/>
                <w:sz w:val="18"/>
              </w:rPr>
              <w:t>[ ]</w:t>
            </w:r>
          </w:p>
        </w:tc>
        <w:tc>
          <w:tcPr>
            <w:tcW w:type="dxa" w:w="4139"/>
            <w:shd w:val="clear" w:color="auto" w:fill="F2F6F8"/>
            <w:tcMar>
              <w:top w:w="60" w:type="dxa"/>
              <w:left w:w="100" w:type="dxa"/>
              <w:bottom w:w="60" w:type="dxa"/>
              <w:right w:w="100" w:type="dxa"/>
            </w:tcMar>
          </w:tcPr>
          <w:p>
            <w:r>
              <w:rPr>
                <w:rFonts w:ascii="Calibri" w:hAnsi="Calibri" w:eastAsia="Calibri"/>
                <w:b w:val="0"/>
                <w:i w:val="0"/>
                <w:color w:val="0F172A"/>
                <w:sz w:val="18"/>
              </w:rPr>
              <w:t>[Day-to-day contact, consolidates comments]</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Programme lead</w:t>
            </w:r>
          </w:p>
        </w:tc>
        <w:tc>
          <w:tcPr>
            <w:tcW w:type="dxa" w:w="1928"/>
            <w:shd w:val="clear" w:color="auto" w:fill="FFFFFF"/>
            <w:tcMar>
              <w:top w:w="60" w:type="dxa"/>
              <w:left w:w="100" w:type="dxa"/>
              <w:bottom w:w="60" w:type="dxa"/>
              <w:right w:w="100" w:type="dxa"/>
            </w:tcMar>
          </w:tcPr>
          <w:p>
            <w:r>
              <w:rPr>
                <w:rFonts w:ascii="Calibri" w:hAnsi="Calibri" w:eastAsia="Calibri"/>
                <w:b w:val="0"/>
                <w:i w:val="0"/>
                <w:color w:val="0F172A"/>
                <w:sz w:val="18"/>
              </w:rPr>
              <w:t>[ ]</w:t>
            </w:r>
          </w:p>
        </w:tc>
        <w:tc>
          <w:tcPr>
            <w:tcW w:type="dxa" w:w="4139"/>
            <w:shd w:val="clear" w:color="auto" w:fill="FFFFFF"/>
            <w:tcMar>
              <w:top w:w="60" w:type="dxa"/>
              <w:left w:w="100" w:type="dxa"/>
              <w:bottom w:w="60" w:type="dxa"/>
              <w:right w:w="100" w:type="dxa"/>
            </w:tcMar>
          </w:tcPr>
          <w:p>
            <w:r>
              <w:rPr>
                <w:rFonts w:ascii="Calibri" w:hAnsi="Calibri" w:eastAsia="Calibri"/>
                <w:b w:val="0"/>
                <w:i w:val="0"/>
                <w:color w:val="0F172A"/>
                <w:sz w:val="18"/>
              </w:rPr>
              <w:t>[Provides documents and access, corrects facts]</w:t>
            </w:r>
          </w:p>
        </w:tc>
      </w:tr>
      <w:tr>
        <w:tc>
          <w:tcPr>
            <w:tcW w:type="dxa" w:w="2948"/>
            <w:shd w:val="clear" w:color="auto" w:fill="F2F6F8"/>
            <w:tcMar>
              <w:top w:w="60" w:type="dxa"/>
              <w:left w:w="100" w:type="dxa"/>
              <w:bottom w:w="60" w:type="dxa"/>
              <w:right w:w="100" w:type="dxa"/>
            </w:tcMar>
          </w:tcPr>
          <w:p>
            <w:r>
              <w:rPr>
                <w:rFonts w:ascii="Calibri" w:hAnsi="Calibri" w:eastAsia="Calibri"/>
                <w:b w:val="0"/>
                <w:i w:val="0"/>
                <w:color w:val="0F172A"/>
                <w:sz w:val="18"/>
              </w:rPr>
              <w:t>Evaluation lead</w:t>
            </w:r>
          </w:p>
        </w:tc>
        <w:tc>
          <w:tcPr>
            <w:tcW w:type="dxa" w:w="1928"/>
            <w:shd w:val="clear" w:color="auto" w:fill="F2F6F8"/>
            <w:tcMar>
              <w:top w:w="60" w:type="dxa"/>
              <w:left w:w="100" w:type="dxa"/>
              <w:bottom w:w="60" w:type="dxa"/>
              <w:right w:w="100" w:type="dxa"/>
            </w:tcMar>
          </w:tcPr>
          <w:p>
            <w:r>
              <w:rPr>
                <w:rFonts w:ascii="Calibri" w:hAnsi="Calibri" w:eastAsia="Calibri"/>
                <w:b w:val="0"/>
                <w:i w:val="0"/>
                <w:color w:val="0F172A"/>
                <w:sz w:val="18"/>
              </w:rPr>
              <w:t>[ ]</w:t>
            </w:r>
          </w:p>
        </w:tc>
        <w:tc>
          <w:tcPr>
            <w:tcW w:type="dxa" w:w="4139"/>
            <w:shd w:val="clear" w:color="auto" w:fill="F2F6F8"/>
            <w:tcMar>
              <w:top w:w="60" w:type="dxa"/>
              <w:left w:w="100" w:type="dxa"/>
              <w:bottom w:w="60" w:type="dxa"/>
              <w:right w:w="100" w:type="dxa"/>
            </w:tcMar>
          </w:tcPr>
          <w:p>
            <w:r>
              <w:rPr>
                <w:rFonts w:ascii="Calibri" w:hAnsi="Calibri" w:eastAsia="Calibri"/>
                <w:b w:val="0"/>
                <w:i w:val="0"/>
                <w:color w:val="0F172A"/>
                <w:sz w:val="18"/>
              </w:rPr>
              <w:t>[Leads the design, decides findings, signs the report]</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Reference group member(s)</w:t>
            </w:r>
          </w:p>
        </w:tc>
        <w:tc>
          <w:tcPr>
            <w:tcW w:type="dxa" w:w="1928"/>
            <w:shd w:val="clear" w:color="auto" w:fill="FFFFFF"/>
            <w:tcMar>
              <w:top w:w="60" w:type="dxa"/>
              <w:left w:w="100" w:type="dxa"/>
              <w:bottom w:w="60" w:type="dxa"/>
              <w:right w:w="100" w:type="dxa"/>
            </w:tcMar>
          </w:tcPr>
          <w:p>
            <w:r>
              <w:rPr>
                <w:rFonts w:ascii="Calibri" w:hAnsi="Calibri" w:eastAsia="Calibri"/>
                <w:b w:val="0"/>
                <w:i w:val="0"/>
                <w:color w:val="0F172A"/>
                <w:sz w:val="18"/>
              </w:rPr>
              <w:t>[ ]</w:t>
            </w:r>
          </w:p>
        </w:tc>
        <w:tc>
          <w:tcPr>
            <w:tcW w:type="dxa" w:w="4139"/>
            <w:shd w:val="clear" w:color="auto" w:fill="FFFFFF"/>
            <w:tcMar>
              <w:top w:w="60" w:type="dxa"/>
              <w:left w:w="100" w:type="dxa"/>
              <w:bottom w:w="60" w:type="dxa"/>
              <w:right w:w="100" w:type="dxa"/>
            </w:tcMar>
          </w:tcPr>
          <w:p>
            <w:r>
              <w:rPr>
                <w:rFonts w:ascii="Calibri" w:hAnsi="Calibri" w:eastAsia="Calibri"/>
                <w:b w:val="0"/>
                <w:i w:val="0"/>
                <w:color w:val="0F172A"/>
                <w:sz w:val="18"/>
              </w:rPr>
              <w:t>[Comment on the design and draft findings]</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Each role has a name and a verb.</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A role such as 'oversight' that nobody can describe in action.</w:t>
            </w:r>
          </w:p>
        </w:tc>
      </w:tr>
    </w:tbl>
    <w:p>
      <w:pPr>
        <w:spacing w:after="40"/>
      </w:pPr>
    </w:p>
    <w:p>
      <w:pPr>
        <w:keepNext/>
        <w:spacing w:before="200" w:after="40" w:line="276" w:lineRule="auto"/>
      </w:pPr>
      <w:r>
        <w:rPr>
          <w:rFonts w:ascii="Calibri" w:hAnsi="Calibri" w:eastAsia="Calibri"/>
          <w:b/>
          <w:i w:val="0"/>
          <w:color w:val="152A49"/>
          <w:sz w:val="23"/>
        </w:rPr>
        <w:t>3.  Decision rights</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Say who decides what, before a dispute needs the answer.</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3741"/>
        <w:gridCol w:w="2948"/>
        <w:gridCol w:w="2324"/>
      </w:tblGrid>
      <w:tr>
        <w:trPr>
          <w:tblHeader w:val="true"/>
        </w:trPr>
        <w:tc>
          <w:tcPr>
            <w:tcW w:type="dxa" w:w="3742"/>
            <w:shd w:val="clear" w:color="auto" w:fill="152A49"/>
            <w:tcMar>
              <w:top w:w="70" w:type="dxa"/>
              <w:left w:w="100" w:type="dxa"/>
              <w:bottom w:w="70" w:type="dxa"/>
              <w:right w:w="100" w:type="dxa"/>
            </w:tcMar>
          </w:tcPr>
          <w:p>
            <w:r>
              <w:rPr>
                <w:rFonts w:ascii="Calibri" w:hAnsi="Calibri" w:eastAsia="Calibri"/>
                <w:b/>
                <w:i w:val="0"/>
                <w:color w:val="FFFFFF"/>
                <w:sz w:val="19"/>
              </w:rPr>
              <w:t>Decision</w:t>
            </w:r>
          </w:p>
        </w:tc>
        <w:tc>
          <w:tcPr>
            <w:tcW w:type="dxa" w:w="2948"/>
            <w:shd w:val="clear" w:color="auto" w:fill="152A49"/>
            <w:tcMar>
              <w:top w:w="70" w:type="dxa"/>
              <w:left w:w="100" w:type="dxa"/>
              <w:bottom w:w="70" w:type="dxa"/>
              <w:right w:w="100" w:type="dxa"/>
            </w:tcMar>
          </w:tcPr>
          <w:p>
            <w:r>
              <w:rPr>
                <w:rFonts w:ascii="Calibri" w:hAnsi="Calibri" w:eastAsia="Calibri"/>
                <w:b/>
                <w:i w:val="0"/>
                <w:color w:val="FFFFFF"/>
                <w:sz w:val="19"/>
              </w:rPr>
              <w:t>Decided by</w:t>
            </w:r>
          </w:p>
        </w:tc>
        <w:tc>
          <w:tcPr>
            <w:tcW w:type="dxa" w:w="2324"/>
            <w:shd w:val="clear" w:color="auto" w:fill="152A49"/>
            <w:tcMar>
              <w:top w:w="70" w:type="dxa"/>
              <w:left w:w="100" w:type="dxa"/>
              <w:bottom w:w="70" w:type="dxa"/>
              <w:right w:w="100" w:type="dxa"/>
            </w:tcMar>
          </w:tcPr>
          <w:p>
            <w:r>
              <w:rPr>
                <w:rFonts w:ascii="Calibri" w:hAnsi="Calibri" w:eastAsia="Calibri"/>
                <w:b/>
                <w:i w:val="0"/>
                <w:color w:val="FFFFFF"/>
                <w:sz w:val="19"/>
              </w:rPr>
              <w:t>Consulted</w:t>
            </w:r>
          </w:p>
        </w:tc>
      </w:tr>
      <w:tr>
        <w:tc>
          <w:tcPr>
            <w:tcW w:type="dxa" w:w="3742"/>
            <w:shd w:val="clear" w:color="auto" w:fill="FFFFFF"/>
            <w:tcMar>
              <w:top w:w="60" w:type="dxa"/>
              <w:left w:w="100" w:type="dxa"/>
              <w:bottom w:w="60" w:type="dxa"/>
              <w:right w:w="100" w:type="dxa"/>
            </w:tcMar>
          </w:tcPr>
          <w:p>
            <w:r>
              <w:rPr>
                <w:rFonts w:ascii="Calibri" w:hAnsi="Calibri" w:eastAsia="Calibri"/>
                <w:b w:val="0"/>
                <w:i w:val="0"/>
                <w:color w:val="0F172A"/>
                <w:sz w:val="18"/>
              </w:rPr>
              <w:t>The evaluation questions and design, after inception</w:t>
            </w:r>
          </w:p>
        </w:tc>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[Commissioner, on the evaluator's advice]</w:t>
            </w:r>
          </w:p>
        </w:tc>
        <w:tc>
          <w:tcPr>
            <w:tcW w:type="dxa" w:w="2324"/>
            <w:shd w:val="clear" w:color="auto" w:fill="FFFFFF"/>
            <w:tcMar>
              <w:top w:w="60" w:type="dxa"/>
              <w:left w:w="100" w:type="dxa"/>
              <w:bottom w:w="60" w:type="dxa"/>
              <w:right w:w="100" w:type="dxa"/>
            </w:tcMar>
          </w:tcPr>
          <w:p>
            <w:r>
              <w:rPr>
                <w:rFonts w:ascii="Calibri" w:hAnsi="Calibri" w:eastAsia="Calibri"/>
                <w:b w:val="0"/>
                <w:i w:val="0"/>
                <w:color w:val="0F172A"/>
                <w:sz w:val="18"/>
              </w:rPr>
              <w:t>[Reference group]</w:t>
            </w:r>
          </w:p>
        </w:tc>
      </w:tr>
      <w:tr>
        <w:tc>
          <w:tcPr>
            <w:tcW w:type="dxa" w:w="3742"/>
            <w:shd w:val="clear" w:color="auto" w:fill="F2F6F8"/>
            <w:tcMar>
              <w:top w:w="60" w:type="dxa"/>
              <w:left w:w="100" w:type="dxa"/>
              <w:bottom w:w="60" w:type="dxa"/>
              <w:right w:w="100" w:type="dxa"/>
            </w:tcMar>
          </w:tcPr>
          <w:p>
            <w:r>
              <w:rPr>
                <w:rFonts w:ascii="Calibri" w:hAnsi="Calibri" w:eastAsia="Calibri"/>
                <w:b w:val="0"/>
                <w:i w:val="0"/>
                <w:color w:val="0F172A"/>
                <w:sz w:val="18"/>
              </w:rPr>
              <w:t>Changes to the schedule or fee</w:t>
            </w:r>
          </w:p>
        </w:tc>
        <w:tc>
          <w:tcPr>
            <w:tcW w:type="dxa" w:w="2948"/>
            <w:shd w:val="clear" w:color="auto" w:fill="F2F6F8"/>
            <w:tcMar>
              <w:top w:w="60" w:type="dxa"/>
              <w:left w:w="100" w:type="dxa"/>
              <w:bottom w:w="60" w:type="dxa"/>
              <w:right w:w="100" w:type="dxa"/>
            </w:tcMar>
          </w:tcPr>
          <w:p>
            <w:r>
              <w:rPr>
                <w:rFonts w:ascii="Calibri" w:hAnsi="Calibri" w:eastAsia="Calibri"/>
                <w:b w:val="0"/>
                <w:i w:val="0"/>
                <w:color w:val="0F172A"/>
                <w:sz w:val="18"/>
              </w:rPr>
              <w:t>[Commissioner and evaluation lead, in writing]</w:t>
            </w:r>
          </w:p>
        </w:tc>
        <w:tc>
          <w:tcPr>
            <w:tcW w:type="dxa" w:w="2324"/>
            <w:shd w:val="clear" w:color="auto" w:fill="F2F6F8"/>
            <w:tcMar>
              <w:top w:w="60" w:type="dxa"/>
              <w:left w:w="100" w:type="dxa"/>
              <w:bottom w:w="60" w:type="dxa"/>
              <w:right w:w="100" w:type="dxa"/>
            </w:tcMar>
          </w:tcPr>
          <w:p>
            <w:r>
              <w:rPr>
                <w:rFonts w:ascii="Calibri" w:hAnsi="Calibri" w:eastAsia="Calibri"/>
                <w:b w:val="0"/>
                <w:i w:val="0"/>
                <w:color w:val="0F172A"/>
                <w:sz w:val="18"/>
              </w:rPr>
              <w:t>[Programme lead]</w:t>
            </w:r>
          </w:p>
        </w:tc>
      </w:tr>
      <w:tr>
        <w:tc>
          <w:tcPr>
            <w:tcW w:type="dxa" w:w="3742"/>
            <w:shd w:val="clear" w:color="auto" w:fill="FFFFFF"/>
            <w:tcMar>
              <w:top w:w="60" w:type="dxa"/>
              <w:left w:w="100" w:type="dxa"/>
              <w:bottom w:w="60" w:type="dxa"/>
              <w:right w:w="100" w:type="dxa"/>
            </w:tcMar>
          </w:tcPr>
          <w:p>
            <w:r>
              <w:rPr>
                <w:rFonts w:ascii="Calibri" w:hAnsi="Calibri" w:eastAsia="Calibri"/>
                <w:b w:val="0"/>
                <w:i w:val="0"/>
                <w:color w:val="0F172A"/>
                <w:sz w:val="18"/>
              </w:rPr>
              <w:t>Factual corrections to a draft</w:t>
            </w:r>
          </w:p>
        </w:tc>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[Programme lead supplies, evaluation lead accepts]</w:t>
            </w:r>
          </w:p>
        </w:tc>
        <w:tc>
          <w:tcPr>
            <w:tcW w:type="dxa" w:w="2324"/>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3742"/>
            <w:shd w:val="clear" w:color="auto" w:fill="F2F6F8"/>
            <w:tcMar>
              <w:top w:w="60" w:type="dxa"/>
              <w:left w:w="100" w:type="dxa"/>
              <w:bottom w:w="60" w:type="dxa"/>
              <w:right w:w="100" w:type="dxa"/>
            </w:tcMar>
          </w:tcPr>
          <w:p>
            <w:r>
              <w:rPr>
                <w:rFonts w:ascii="Calibri" w:hAnsi="Calibri" w:eastAsia="Calibri"/>
                <w:b w:val="0"/>
                <w:i w:val="0"/>
                <w:color w:val="0F172A"/>
                <w:sz w:val="18"/>
              </w:rPr>
              <w:t>Findings, conclusions and recommendations</w:t>
            </w:r>
          </w:p>
        </w:tc>
        <w:tc>
          <w:tcPr>
            <w:tcW w:type="dxa" w:w="2948"/>
            <w:shd w:val="clear" w:color="auto" w:fill="F2F6F8"/>
            <w:tcMar>
              <w:top w:w="60" w:type="dxa"/>
              <w:left w:w="100" w:type="dxa"/>
              <w:bottom w:w="60" w:type="dxa"/>
              <w:right w:w="100" w:type="dxa"/>
            </w:tcMar>
          </w:tcPr>
          <w:p>
            <w:r>
              <w:rPr>
                <w:rFonts w:ascii="Calibri" w:hAnsi="Calibri" w:eastAsia="Calibri"/>
                <w:b w:val="0"/>
                <w:i w:val="0"/>
                <w:color w:val="0F172A"/>
                <w:sz w:val="18"/>
              </w:rPr>
              <w:t>[Evaluation lead]</w:t>
            </w:r>
          </w:p>
        </w:tc>
        <w:tc>
          <w:tcPr>
            <w:tcW w:type="dxa" w:w="2324"/>
            <w:shd w:val="clear" w:color="auto" w:fill="F2F6F8"/>
            <w:tcMar>
              <w:top w:w="60" w:type="dxa"/>
              <w:left w:w="100" w:type="dxa"/>
              <w:bottom w:w="60" w:type="dxa"/>
              <w:right w:w="100" w:type="dxa"/>
            </w:tcMar>
          </w:tcPr>
          <w:p>
            <w:r>
              <w:rPr>
                <w:rFonts w:ascii="Calibri" w:hAnsi="Calibri" w:eastAsia="Calibri"/>
                <w:b w:val="0"/>
                <w:i w:val="0"/>
                <w:color w:val="0F172A"/>
                <w:sz w:val="18"/>
              </w:rPr>
              <w:t>[Reference group]</w:t>
            </w:r>
          </w:p>
        </w:tc>
      </w:tr>
      <w:tr>
        <w:tc>
          <w:tcPr>
            <w:tcW w:type="dxa" w:w="3742"/>
            <w:shd w:val="clear" w:color="auto" w:fill="FFFFFF"/>
            <w:tcMar>
              <w:top w:w="60" w:type="dxa"/>
              <w:left w:w="100" w:type="dxa"/>
              <w:bottom w:w="60" w:type="dxa"/>
              <w:right w:w="100" w:type="dxa"/>
            </w:tcMar>
          </w:tcPr>
          <w:p>
            <w:r>
              <w:rPr>
                <w:rFonts w:ascii="Calibri" w:hAnsi="Calibri" w:eastAsia="Calibri"/>
                <w:b w:val="0"/>
                <w:i w:val="0"/>
                <w:color w:val="0F172A"/>
                <w:sz w:val="18"/>
              </w:rPr>
              <w:t>Acceptance of a deliverable against its description</w:t>
            </w:r>
          </w:p>
        </w:tc>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[Commissioner]</w:t>
            </w:r>
          </w:p>
        </w:tc>
        <w:tc>
          <w:tcPr>
            <w:tcW w:type="dxa" w:w="2324"/>
            <w:shd w:val="clear" w:color="auto" w:fill="FFFFFF"/>
            <w:tcMar>
              <w:top w:w="60" w:type="dxa"/>
              <w:left w:w="100" w:type="dxa"/>
              <w:bottom w:w="60" w:type="dxa"/>
              <w:right w:w="100" w:type="dxa"/>
            </w:tcMar>
          </w:tcPr>
          <w:p>
            <w:r>
              <w:rPr>
                <w:rFonts w:ascii="Calibri" w:hAnsi="Calibri" w:eastAsia="Calibri"/>
                <w:b w:val="0"/>
                <w:i w:val="0"/>
                <w:color w:val="0F172A"/>
                <w:sz w:val="18"/>
              </w:rPr>
              <w:t>[Client contract manager]</w:t>
            </w:r>
          </w:p>
        </w:tc>
      </w:tr>
      <w:tr>
        <w:tc>
          <w:tcPr>
            <w:tcW w:type="dxa" w:w="3742"/>
            <w:shd w:val="clear" w:color="auto" w:fill="F2F6F8"/>
            <w:tcMar>
              <w:top w:w="60" w:type="dxa"/>
              <w:left w:w="100" w:type="dxa"/>
              <w:bottom w:w="60" w:type="dxa"/>
              <w:right w:w="100" w:type="dxa"/>
            </w:tcMar>
          </w:tcPr>
          <w:p>
            <w:r>
              <w:rPr>
                <w:rFonts w:ascii="Calibri" w:hAnsi="Calibri" w:eastAsia="Calibri"/>
                <w:b w:val="0"/>
                <w:i w:val="0"/>
                <w:color w:val="0F172A"/>
                <w:sz w:val="18"/>
              </w:rPr>
              <w:t>Release of the report and of any data</w:t>
            </w:r>
          </w:p>
        </w:tc>
        <w:tc>
          <w:tcPr>
            <w:tcW w:type="dxa" w:w="2948"/>
            <w:shd w:val="clear" w:color="auto" w:fill="F2F6F8"/>
            <w:tcMar>
              <w:top w:w="60" w:type="dxa"/>
              <w:left w:w="100" w:type="dxa"/>
              <w:bottom w:w="60" w:type="dxa"/>
              <w:right w:w="100" w:type="dxa"/>
            </w:tcMar>
          </w:tcPr>
          <w:p>
            <w:r>
              <w:rPr>
                <w:rFonts w:ascii="Calibri" w:hAnsi="Calibri" w:eastAsia="Calibri"/>
                <w:b w:val="0"/>
                <w:i w:val="0"/>
                <w:color w:val="0F172A"/>
                <w:sz w:val="18"/>
              </w:rPr>
              <w:t>[Commissioner, within the contract's publication terms]</w:t>
            </w:r>
          </w:p>
        </w:tc>
        <w:tc>
          <w:tcPr>
            <w:tcW w:type="dxa" w:w="2324"/>
            <w:shd w:val="clear" w:color="auto" w:fill="F2F6F8"/>
            <w:tcMar>
              <w:top w:w="60" w:type="dxa"/>
              <w:left w:w="100" w:type="dxa"/>
              <w:bottom w:w="60" w:type="dxa"/>
              <w:right w:w="100" w:type="dxa"/>
            </w:tcMar>
          </w:tcPr>
          <w:p>
            <w:r>
              <w:rPr>
                <w:rFonts w:ascii="Calibri" w:hAnsi="Calibri" w:eastAsia="Calibri"/>
                <w:b w:val="0"/>
                <w:i w:val="0"/>
                <w:color w:val="0F172A"/>
                <w:sz w:val="18"/>
              </w:rPr>
              <w:t>[Evaluation lead]</w:t>
            </w:r>
          </w:p>
        </w:tc>
      </w:tr>
    </w:tbl>
    <w:p>
      <w:r>
        <w:rPr>
          <w:i/>
          <w:sz w:val="18"/>
        </w:rPr>
        <w:t>Sample ends here. The full pack and its worked example arrive clean and fully editable after purchase.</w:t>
      </w:r>
    </w:p>
    <w:sectPr w:rsidR="00FC693F" w:rsidRPr="0006063C" w:rsidSect="00034616">
      <w:foot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5B6776"/>
        <w:sz w:val="15"/>
      </w:rPr>
      <w:t xml:space="preserve">© 2026 ImpactMojo · CC BY-NC-ND 4.0 · impactmojo.in        Page </w:t>
    </w:r>
    <w:r>
      <w:rPr>
        <w:rFonts w:ascii="Calibri" w:hAnsi="Calibri" w:eastAsia="Calibri"/>
        <w:b w:val="0"/>
        <w:i w:val="0"/>
        <w:color w:val="5B6776"/>
        <w:sz w:val="15"/>
      </w:rPr>
      <w:fldChar w:fldCharType="begin"/>
      <w:instrText xml:space="preserve">PAGE</w:instrText>
      <w:fldChar w:fldCharType="separate"/>
      <w:fldChar w:fldCharType="end"/>
    </w:r>
    <w:r>
      <w:rPr>
        <w:rFonts w:ascii="Calibri" w:hAnsi="Calibri" w:eastAsia="Calibri"/>
        <w:b w:val="0"/>
        <w:i w:val="0"/>
        <w:color w:val="5B6776"/>
        <w:sz w:val="15"/>
      </w:rPr>
      <w:t xml:space="preserve"> of </w:t>
    </w:r>
    <w:r>
      <w:rPr>
        <w:rFonts w:ascii="Calibri" w:hAnsi="Calibri" w:eastAsia="Calibri"/>
        <w:b w:val="0"/>
        <w:i w:val="0"/>
        <w:color w:val="5B6776"/>
        <w:sz w:val="15"/>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