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42318"/>
          <w:sz w:val="18"/>
        </w:rPr>
        <w:t>SAMPLE: preview only. This is the opening of the full pack, from impactmojo.in/products/evidence-strength-rating/</w:t>
      </w:r>
    </w:p>
    <w:tbl>
      <w:tblPr>
        <w:tblW w:type="auto" w:w="0"/>
        <w:jc w:val="left"/>
        <w:tblLayout w:type="fixed"/>
        <w:tblLook w:firstColumn="1" w:firstRow="1" w:lastColumn="0" w:lastRow="0" w:noHBand="0" w:noVBand="1" w:val="04A0"/>
        <w:tblLayout w:type="fixed"/>
        <w:tblBorders>
          <w:top w:val="nil" w:space="0"/>
          <w:left w:val="nil" w:space="0"/>
          <w:bottom w:val="nil" w:space="0"/>
          <w:right w:val="nil" w:space="0"/>
          <w:insideH w:val="nil" w:space="0"/>
          <w:insideV w:val="nil" w:space="0"/>
        </w:tblBorders>
      </w:tblPr>
      <w:tblGrid>
        <w:gridCol w:w="9014"/>
      </w:tblGrid>
      <w:tr>
        <w:tc>
          <w:tcPr>
            <w:tcW w:type="dxa" w:w="9014"/>
            <w:shd w:val="clear" w:color="auto" w:fill="152A49"/>
            <w:tcMar>
              <w:top w:w="260" w:type="dxa"/>
              <w:left w:w="320" w:type="dxa"/>
              <w:bottom w:w="260" w:type="dxa"/>
              <w:right w:w="320" w:type="dxa"/>
            </w:tcMar>
          </w:tcPr>
          <w:p>
            <w:pPr>
              <w:spacing w:before="0" w:after="120" w:line="276" w:lineRule="auto"/>
            </w:pPr>
            <w:r>
              <w:rPr>
                <w:rFonts w:ascii="Calibri" w:hAnsi="Calibri" w:eastAsia="Calibri"/>
                <w:b w:val="0"/>
                <w:i w:val="0"/>
                <w:color w:val="AEBDCC"/>
                <w:sz w:val="17"/>
              </w:rPr>
              <w:t>ImpactMojo  ·  Evaluator's Desk</w:t>
            </w:r>
          </w:p>
          <w:p>
            <w:pPr>
              <w:spacing w:before="0" w:after="80" w:line="276" w:lineRule="auto"/>
            </w:pPr>
            <w:r>
              <w:rPr>
                <w:rFonts w:ascii="Calibri" w:hAnsi="Calibri" w:eastAsia="Calibri"/>
                <w:b/>
                <w:i w:val="0"/>
                <w:color w:val="FFFFFF"/>
                <w:sz w:val="40"/>
              </w:rPr>
              <w:t>Evidence Strength Rating Guide</w:t>
            </w:r>
          </w:p>
          <w:p>
            <w:pPr>
              <w:spacing w:before="0" w:after="80" w:line="276" w:lineRule="auto"/>
            </w:pPr>
            <w:r>
              <w:rPr>
                <w:rFonts w:ascii="Calibri" w:hAnsi="Calibri" w:eastAsia="Calibri"/>
                <w:b w:val="0"/>
                <w:i w:val="0"/>
                <w:color w:val="0DBEB6"/>
                <w:sz w:val="22"/>
              </w:rPr>
              <w:t>A repeatable way to rate each finding as strong, moderate or limited, and the words to use in the report</w:t>
            </w:r>
          </w:p>
          <w:p>
            <w:pPr>
              <w:spacing w:before="0" w:after="0" w:line="276" w:lineRule="auto"/>
            </w:pPr>
            <w:r>
              <w:rPr>
                <w:rFonts w:ascii="Calibri" w:hAnsi="Calibri" w:eastAsia="Calibri"/>
                <w:b w:val="0"/>
                <w:i w:val="0"/>
                <w:color w:val="AEBDCC"/>
                <w:sz w:val="17"/>
              </w:rPr>
              <w:t>Template · DOCX · ₹199</w:t>
            </w:r>
          </w:p>
        </w:tc>
      </w:tr>
    </w:tbl>
    <w:p>
      <w:pPr>
        <w:spacing w:before="120" w:after="120" w:line="276" w:lineRule="auto"/>
      </w:pPr>
      <w:r>
        <w:rPr>
          <w:rFonts w:ascii="Calibri" w:hAnsi="Calibri" w:eastAsia="Calibri"/>
          <w:b w:val="0"/>
          <w:i w:val="0"/>
          <w:color w:val="5B6776"/>
          <w:sz w:val="18"/>
        </w:rPr>
        <w:t>Version 1.0   ·   October 2026   ·   Part of the Evaluation Essentials Kit</w:t>
      </w:r>
    </w:p>
    <w:tbl>
      <w:tblPr>
        <w:tblW w:type="auto" w:w="0"/>
        <w:jc w:val="left"/>
        <w:tblLayout w:type="fixed"/>
        <w:tblLook w:firstColumn="1" w:firstRow="1" w:lastColumn="0" w:lastRow="0" w:noHBand="0" w:noVBand="1" w:val="04A0"/>
        <w:tblLayout w:type="fixed"/>
        <w:tblBorders>
          <w:top w:val="single" w:sz="4" w:color="0C8A89" w:space="0"/>
          <w:left w:val="single" w:sz="24" w:color="0C8A89" w:space="0"/>
          <w:bottom w:val="single" w:sz="4" w:color="0C8A89" w:space="0"/>
          <w:right w:val="single" w:sz="4" w:color="0C8A89" w:space="0"/>
          <w:insideH w:val="single" w:sz="4" w:color="0C8A89" w:space="0"/>
          <w:insideV w:val="single" w:sz="4" w:color="0C8A89" w:space="0"/>
        </w:tblBorders>
      </w:tblPr>
      <w:tblGrid>
        <w:gridCol w:w="9014"/>
      </w:tblGrid>
      <w:tr>
        <w:tc>
          <w:tcPr>
            <w:tcW w:type="dxa" w:w="9014"/>
            <w:shd w:val="clear" w:color="auto" w:fill="EAF6F5"/>
            <w:tcMar>
              <w:top w:w="100" w:type="dxa"/>
              <w:left w:w="160" w:type="dxa"/>
              <w:bottom w:w="100" w:type="dxa"/>
              <w:right w:w="160" w:type="dxa"/>
            </w:tcMar>
          </w:tcPr>
          <w:p>
            <w:pPr>
              <w:spacing w:before="0" w:after="60" w:line="276" w:lineRule="auto"/>
            </w:pPr>
            <w:r>
              <w:rPr>
                <w:rFonts w:ascii="Calibri" w:hAnsi="Calibri" w:eastAsia="Calibri"/>
                <w:b/>
                <w:i w:val="0"/>
                <w:color w:val="0C8A89"/>
                <w:sz w:val="17"/>
              </w:rPr>
              <w:t>WHAT IS INSIDE THIS PACK</w:t>
            </w:r>
          </w:p>
          <w:p>
            <w:pPr>
              <w:spacing w:before="0" w:after="60" w:line="276" w:lineRule="auto"/>
            </w:pPr>
            <w:r>
              <w:rPr>
                <w:rFonts w:ascii="Calibri" w:hAnsi="Calibri" w:eastAsia="Calibri"/>
                <w:b/>
                <w:i w:val="0"/>
                <w:color w:val="0F172A"/>
                <w:sz w:val="19"/>
              </w:rPr>
              <w:t>Part A.</w:t>
            </w:r>
            <w:r>
              <w:rPr>
                <w:rFonts w:ascii="Calibri" w:hAnsi="Calibri" w:eastAsia="Calibri"/>
                <w:b w:val="0"/>
                <w:i w:val="0"/>
                <w:color w:val="0F172A"/>
                <w:sz w:val="19"/>
              </w:rPr>
              <w:t xml:space="preserve"> Why every finding needs a stated strength, and why a rule beats a feeling.</w:t>
            </w:r>
          </w:p>
          <w:p>
            <w:pPr>
              <w:spacing w:before="0" w:after="60" w:line="276" w:lineRule="auto"/>
            </w:pPr>
            <w:r>
              <w:rPr>
                <w:rFonts w:ascii="Calibri" w:hAnsi="Calibri" w:eastAsia="Calibri"/>
                <w:b/>
                <w:i w:val="0"/>
                <w:color w:val="0F172A"/>
                <w:sz w:val="19"/>
              </w:rPr>
              <w:t>Part B.</w:t>
            </w:r>
            <w:r>
              <w:rPr>
                <w:rFonts w:ascii="Calibri" w:hAnsi="Calibri" w:eastAsia="Calibri"/>
                <w:b w:val="0"/>
                <w:i w:val="0"/>
                <w:color w:val="0F172A"/>
                <w:sz w:val="19"/>
              </w:rPr>
              <w:t xml:space="preserve"> The method: five tests scored 0, 1 or 2, a rule that caps the rating, a rating sheet for each finding and the report wording for each rating.</w:t>
            </w:r>
          </w:p>
          <w:p>
            <w:pPr>
              <w:spacing w:before="0" w:after="60" w:line="276" w:lineRule="auto"/>
            </w:pPr>
            <w:r>
              <w:rPr>
                <w:rFonts w:ascii="Calibri" w:hAnsi="Calibri" w:eastAsia="Calibri"/>
                <w:b/>
                <w:i w:val="0"/>
                <w:color w:val="0F172A"/>
                <w:sz w:val="19"/>
              </w:rPr>
              <w:t>Part C.</w:t>
            </w:r>
            <w:r>
              <w:rPr>
                <w:rFonts w:ascii="Calibri" w:hAnsi="Calibri" w:eastAsia="Calibri"/>
                <w:b w:val="0"/>
                <w:i w:val="0"/>
                <w:color w:val="0F172A"/>
                <w:sz w:val="19"/>
              </w:rPr>
              <w:t xml:space="preserve"> Reference assets: examples of each test at each score, the common ways a rating drifts upward, a summary table for the report and a glossary.</w:t>
            </w:r>
          </w:p>
          <w:p>
            <w:pPr>
              <w:spacing w:before="0" w:after="60" w:line="276" w:lineRule="auto"/>
            </w:pPr>
            <w:r>
              <w:rPr>
                <w:rFonts w:ascii="Calibri" w:hAnsi="Calibri" w:eastAsia="Calibri"/>
                <w:b/>
                <w:i w:val="0"/>
                <w:color w:val="0F172A"/>
                <w:sz w:val="19"/>
              </w:rPr>
              <w:t>Part D.</w:t>
            </w:r>
            <w:r>
              <w:rPr>
                <w:rFonts w:ascii="Calibri" w:hAnsi="Calibri" w:eastAsia="Calibri"/>
                <w:b w:val="0"/>
                <w:i w:val="0"/>
                <w:color w:val="0F172A"/>
                <w:sz w:val="19"/>
              </w:rPr>
              <w:t xml:space="preserve"> A worked example: six findings from a maternal and newborn health evaluation, rated and worded.</w:t>
            </w:r>
          </w:p>
        </w:tc>
      </w:tr>
    </w:tbl>
    <w:p>
      <w:pPr>
        <w:spacing w:after="40"/>
      </w:pPr>
    </w:p>
    <w:p>
      <w:pPr>
        <w:spacing w:before="0" w:after="80" w:line="276" w:lineRule="auto"/>
      </w:pPr>
      <w:r>
        <w:rPr>
          <w:rFonts w:ascii="Calibri" w:hAnsi="Calibri" w:eastAsia="Calibri"/>
          <w:b w:val="0"/>
          <w:i w:val="0"/>
          <w:color w:val="5B6776"/>
          <w:sz w:val="19"/>
        </w:rPr>
        <w:t>Replace every [bracketed prompt]. Rate each finding when you write it, and not at the end. A rating given at the end tends to follow how much you like the finding. The method is deliberately simple so that a second person can repeat it and reach the same result.</w:t>
      </w:r>
    </w:p>
    <w:p>
      <w:pPr>
        <w:keepNext/>
        <w:spacing w:before="280" w:after="0" w:line="276" w:lineRule="auto"/>
      </w:pPr>
      <w:r>
        <w:rPr>
          <w:rFonts w:ascii="Calibri" w:hAnsi="Calibri" w:eastAsia="Calibri"/>
          <w:b/>
          <w:i w:val="0"/>
          <w:color w:val="0C8A89"/>
          <w:sz w:val="18"/>
        </w:rPr>
        <w:t>PART A</w:t>
      </w:r>
    </w:p>
    <w:p>
      <w:pPr>
        <w:keepNext/>
        <w:spacing w:before="0" w:after="120" w:line="276" w:lineRule="auto"/>
      </w:pPr>
      <w:r>
        <w:rPr>
          <w:rFonts w:ascii="Calibri" w:hAnsi="Calibri" w:eastAsia="Calibri"/>
          <w:b/>
          <w:i w:val="0"/>
          <w:color w:val="152A49"/>
          <w:sz w:val="32"/>
        </w:rPr>
        <w:t>Why every finding needs a stated strength</w:t>
      </w:r>
    </w:p>
    <w:p>
      <w:pPr>
        <w:spacing w:before="0" w:after="100" w:line="276" w:lineRule="auto"/>
      </w:pPr>
      <w:r>
        <w:rPr>
          <w:rFonts w:ascii="Calibri" w:hAnsi="Calibri" w:eastAsia="Calibri"/>
          <w:b w:val="0"/>
          <w:i w:val="0"/>
          <w:color w:val="0F172A"/>
          <w:sz w:val="21"/>
        </w:rPr>
        <w:t>A report full of findings written in the same confident voice hides the difference between what the evaluation showed and what it suggests. A reader cannot tell a result from a household survey with 1,200 respondents from an impression gathered in four interviews. Both appear as a sentence in the executive summary.</w:t>
      </w:r>
    </w:p>
    <w:p>
      <w:pPr>
        <w:spacing w:before="0" w:after="100" w:line="276" w:lineRule="auto"/>
      </w:pPr>
      <w:r>
        <w:rPr>
          <w:rFonts w:ascii="Calibri" w:hAnsi="Calibri" w:eastAsia="Calibri"/>
          <w:b w:val="0"/>
          <w:i w:val="0"/>
          <w:color w:val="0F172A"/>
          <w:sz w:val="21"/>
        </w:rPr>
        <w:t>A stated strength tells the reader how far to lean on a finding. It also protects the evaluator: a limited finding, labelled as limited, is a service to the client, while the same finding stated as fact becomes a liability when someone checks it.</w:t>
      </w:r>
    </w:p>
    <w:p>
      <w:pPr>
        <w:spacing w:before="0" w:after="100" w:line="276" w:lineRule="auto"/>
      </w:pPr>
      <w:r>
        <w:rPr>
          <w:rFonts w:ascii="Calibri" w:hAnsi="Calibri" w:eastAsia="Calibri"/>
          <w:b w:val="0"/>
          <w:i w:val="0"/>
          <w:color w:val="0F172A"/>
          <w:sz w:val="21"/>
        </w:rPr>
        <w:t>The method here borrows the idea from systematic review practice and makes it small enough for an evaluation team to use in an afternoon. You score five tests, apply one cap and read off strong, moderate or limited. The rating is a judgement made visible. It is not a measurement.</w:t>
      </w:r>
    </w:p>
    <w:p>
      <w:pPr>
        <w:spacing w:before="0" w:after="100" w:line="276" w:lineRule="auto"/>
      </w:pPr>
      <w:r>
        <w:rPr>
          <w:rFonts w:ascii="Calibri" w:hAnsi="Calibri" w:eastAsia="Calibri"/>
          <w:b w:val="0"/>
          <w:i w:val="0"/>
          <w:color w:val="0F172A"/>
          <w:sz w:val="21"/>
        </w:rPr>
        <w:t>Three rules to keep:</w:t>
      </w:r>
    </w:p>
    <w:p>
      <w:pPr>
        <w:pStyle w:val="ListBullet"/>
        <w:spacing w:before="0" w:after="40" w:line="276" w:lineRule="auto"/>
      </w:pPr>
      <w:r>
        <w:rPr>
          <w:rFonts w:ascii="Calibri" w:hAnsi="Calibri" w:eastAsia="Calibri"/>
          <w:b w:val="0"/>
          <w:i w:val="0"/>
          <w:color w:val="0F172A"/>
          <w:sz w:val="21"/>
        </w:rPr>
        <w:t>Rate the finding, and not the method in general. One survey can support one finding strongly and another weakly.</w:t>
      </w:r>
    </w:p>
    <w:p>
      <w:pPr>
        <w:pStyle w:val="ListBullet"/>
        <w:spacing w:before="0" w:after="40" w:line="276" w:lineRule="auto"/>
      </w:pPr>
      <w:r>
        <w:rPr>
          <w:rFonts w:ascii="Calibri" w:hAnsi="Calibri" w:eastAsia="Calibri"/>
          <w:b w:val="0"/>
          <w:i w:val="0"/>
          <w:color w:val="0F172A"/>
          <w:sz w:val="21"/>
        </w:rPr>
        <w:t>Write down the reason for each score in a few words.</w:t>
      </w:r>
    </w:p>
    <w:p>
      <w:pPr>
        <w:pStyle w:val="ListBullet"/>
        <w:spacing w:before="0" w:after="40" w:line="276" w:lineRule="auto"/>
      </w:pPr>
      <w:r>
        <w:rPr>
          <w:rFonts w:ascii="Calibri" w:hAnsi="Calibri" w:eastAsia="Calibri"/>
          <w:b w:val="0"/>
          <w:i w:val="0"/>
          <w:color w:val="0F172A"/>
          <w:sz w:val="21"/>
        </w:rPr>
        <w:t>Never raise a rating because the finding is important or welcome.</w:t>
      </w:r>
    </w:p>
    <w:p>
      <w:pPr>
        <w:keepNext/>
        <w:spacing w:before="280" w:after="0" w:line="276" w:lineRule="auto"/>
      </w:pPr>
      <w:r>
        <w:rPr>
          <w:rFonts w:ascii="Calibri" w:hAnsi="Calibri" w:eastAsia="Calibri"/>
          <w:b/>
          <w:i w:val="0"/>
          <w:color w:val="0C8A89"/>
          <w:sz w:val="18"/>
        </w:rPr>
        <w:t>PART B</w:t>
      </w:r>
    </w:p>
    <w:p>
      <w:pPr>
        <w:keepNext/>
        <w:spacing w:before="0" w:after="120" w:line="276" w:lineRule="auto"/>
      </w:pPr>
      <w:r>
        <w:rPr>
          <w:rFonts w:ascii="Calibri" w:hAnsi="Calibri" w:eastAsia="Calibri"/>
          <w:b/>
          <w:i w:val="0"/>
          <w:color w:val="152A49"/>
          <w:sz w:val="32"/>
        </w:rPr>
        <w:t>The method</w:t>
      </w:r>
    </w:p>
    <w:p>
      <w:pPr>
        <w:keepNext/>
        <w:spacing w:before="200" w:after="40" w:line="276" w:lineRule="auto"/>
      </w:pPr>
      <w:r>
        <w:rPr>
          <w:rFonts w:ascii="Calibri" w:hAnsi="Calibri" w:eastAsia="Calibri"/>
          <w:b/>
          <w:i w:val="0"/>
          <w:color w:val="152A49"/>
          <w:sz w:val="23"/>
        </w:rPr>
        <w:t>1.  State the finding as a claim</w:t>
      </w:r>
    </w:p>
    <w:p>
      <w:pPr>
        <w:spacing w:before="0" w:after="60" w:line="276" w:lineRule="auto"/>
      </w:pPr>
      <w:r>
        <w:rPr>
          <w:rFonts w:ascii="Calibri" w:hAnsi="Calibri" w:eastAsia="Calibri"/>
          <w:b/>
          <w:i w:val="0"/>
          <w:color w:val="0C8A89"/>
          <w:sz w:val="20"/>
        </w:rPr>
        <w:t xml:space="preserve">What this section is for.  </w:t>
      </w:r>
      <w:r>
        <w:rPr>
          <w:rFonts w:ascii="Calibri" w:hAnsi="Calibri" w:eastAsia="Calibri"/>
          <w:b w:val="0"/>
          <w:i w:val="0"/>
          <w:color w:val="0F172A"/>
          <w:sz w:val="20"/>
        </w:rPr>
        <w:t>Make the finding precise enough to rate.</w:t>
      </w:r>
    </w:p>
    <w:p>
      <w:pPr>
        <w:spacing w:before="0" w:after="80" w:line="276" w:lineRule="auto"/>
      </w:pPr>
      <w:r>
        <w:rPr>
          <w:rFonts w:ascii="Calibri" w:hAnsi="Calibri" w:eastAsia="Calibri"/>
          <w:b w:val="0"/>
          <w:i w:val="0"/>
          <w:color w:val="5B6776"/>
          <w:sz w:val="19"/>
        </w:rPr>
        <w:t>A claim names the change, the group, the period and the place. 'The programme improved maternal health' cannot be rated. 'The share of births in a health facility rose among women in the three programme blocks between 2024 and 2026' can.</w:t>
      </w:r>
    </w:p>
    <w:p>
      <w:pPr>
        <w:pBdr>
          <w:bottom w:val="single" w:sz="4" w:space="1" w:color="C9D2DD"/>
        </w:pBdr>
        <w:spacing w:before="0" w:after="160" w:line="276" w:lineRule="auto"/>
      </w:pPr>
    </w:p>
    <w:p>
      <w:pPr>
        <w:pBdr>
          <w:bottom w:val="single" w:sz="4" w:space="1" w:color="C9D2DD"/>
        </w:pBdr>
        <w:spacing w:before="0" w:after="160" w:line="276" w:lineRule="auto"/>
      </w:pPr>
    </w:p>
    <w:tbl>
      <w:tblPr>
        <w:tblW w:type="auto" w:w="0"/>
        <w:jc w:val="left"/>
        <w:tblLayout w:type="fixed"/>
        <w:tblLook w:firstColumn="1" w:firstRow="1" w:lastColumn="0" w:lastRow="0" w:noHBand="0" w:noVBand="1" w:val="04A0"/>
        <w:tblLayout w:type="fixed"/>
        <w:tblBorders>
          <w:top w:val="single" w:sz="4" w:color="1FAE63" w:space="0"/>
          <w:left w:val="single" w:sz="24" w:color="1FAE63" w:space="0"/>
          <w:bottom w:val="single" w:sz="4" w:color="1FAE63" w:space="0"/>
          <w:right w:val="single" w:sz="4" w:color="1FAE63" w:space="0"/>
          <w:insideH w:val="single" w:sz="4" w:color="1FAE63" w:space="0"/>
          <w:insideV w:val="single" w:sz="4" w:color="1FAE63" w:space="0"/>
        </w:tblBorders>
      </w:tblPr>
      <w:tblGrid>
        <w:gridCol w:w="9014"/>
      </w:tblGrid>
      <w:tr>
        <w:tc>
          <w:tcPr>
            <w:tcW w:type="dxa" w:w="9014"/>
            <w:shd w:val="clear" w:color="auto" w:fill="EAF7EF"/>
            <w:tcMar>
              <w:top w:w="100" w:type="dxa"/>
              <w:left w:w="160" w:type="dxa"/>
              <w:bottom w:w="100" w:type="dxa"/>
              <w:right w:w="160" w:type="dxa"/>
            </w:tcMar>
          </w:tcPr>
          <w:p>
            <w:pPr>
              <w:spacing w:before="0" w:after="60" w:line="276" w:lineRule="auto"/>
            </w:pPr>
            <w:r>
              <w:rPr>
                <w:rFonts w:ascii="Calibri" w:hAnsi="Calibri" w:eastAsia="Calibri"/>
                <w:b/>
                <w:i w:val="0"/>
                <w:color w:val="14703F"/>
                <w:sz w:val="17"/>
              </w:rPr>
              <w:t>WHAT GOOD LOOKS LIKE</w:t>
            </w:r>
          </w:p>
          <w:p>
            <w:pPr>
              <w:spacing w:before="0" w:after="60" w:line="276" w:lineRule="auto"/>
            </w:pPr>
            <w:r>
              <w:rPr>
                <w:rFonts w:ascii="Calibri" w:hAnsi="Calibri" w:eastAsia="Calibri"/>
                <w:b w:val="0"/>
                <w:i w:val="0"/>
                <w:color w:val="0F172A"/>
                <w:sz w:val="19"/>
              </w:rPr>
              <w:t>A stranger could say what evidence would contradict the claim.</w:t>
            </w:r>
          </w:p>
        </w:tc>
      </w:tr>
    </w:tbl>
    <w:p>
      <w:pPr>
        <w:spacing w:after="40"/>
      </w:pPr>
    </w:p>
    <w:tbl>
      <w:tblPr>
        <w:tblW w:type="auto" w:w="0"/>
        <w:jc w:val="left"/>
        <w:tblLayout w:type="fixed"/>
        <w:tblLook w:firstColumn="1" w:firstRow="1" w:lastColumn="0" w:lastRow="0" w:noHBand="0" w:noVBand="1" w:val="04A0"/>
        <w:tblLayout w:type="fixed"/>
        <w:tblBorders>
          <w:top w:val="single" w:sz="4" w:color="E0A800" w:space="0"/>
          <w:left w:val="single" w:sz="24" w:color="E0A800" w:space="0"/>
          <w:bottom w:val="single" w:sz="4" w:color="E0A800" w:space="0"/>
          <w:right w:val="single" w:sz="4" w:color="E0A800" w:space="0"/>
          <w:insideH w:val="single" w:sz="4" w:color="E0A800" w:space="0"/>
          <w:insideV w:val="single" w:sz="4" w:color="E0A800" w:space="0"/>
        </w:tblBorders>
      </w:tblPr>
      <w:tblGrid>
        <w:gridCol w:w="9014"/>
      </w:tblGrid>
      <w:tr>
        <w:tc>
          <w:tcPr>
            <w:tcW w:type="dxa" w:w="9014"/>
            <w:shd w:val="clear" w:color="auto" w:fill="FFF7E6"/>
            <w:tcMar>
              <w:top w:w="100" w:type="dxa"/>
              <w:left w:w="160" w:type="dxa"/>
              <w:bottom w:w="100" w:type="dxa"/>
              <w:right w:w="160" w:type="dxa"/>
            </w:tcMar>
          </w:tcPr>
          <w:p>
            <w:pPr>
              <w:spacing w:before="0" w:after="60" w:line="276" w:lineRule="auto"/>
            </w:pPr>
            <w:r>
              <w:rPr>
                <w:rFonts w:ascii="Calibri" w:hAnsi="Calibri" w:eastAsia="Calibri"/>
                <w:b/>
                <w:i w:val="0"/>
                <w:color w:val="8A6100"/>
                <w:sz w:val="17"/>
              </w:rPr>
              <w:t>COMMON MISTAKES</w:t>
            </w:r>
          </w:p>
          <w:p>
            <w:pPr>
              <w:spacing w:before="0" w:after="60" w:line="276" w:lineRule="auto"/>
            </w:pPr>
            <w:r>
              <w:rPr>
                <w:rFonts w:ascii="Calibri" w:hAnsi="Calibri" w:eastAsia="Calibri"/>
                <w:b w:val="0"/>
                <w:i w:val="0"/>
                <w:color w:val="0F172A"/>
                <w:sz w:val="19"/>
              </w:rPr>
              <w:t>A claim that no evidence could contradict.</w:t>
            </w:r>
          </w:p>
        </w:tc>
      </w:tr>
    </w:tbl>
    <w:p>
      <w:pPr>
        <w:spacing w:after="40"/>
      </w:pPr>
    </w:p>
    <w:p>
      <w:pPr>
        <w:keepNext/>
        <w:spacing w:before="200" w:after="40" w:line="276" w:lineRule="auto"/>
      </w:pPr>
      <w:r>
        <w:rPr>
          <w:rFonts w:ascii="Calibri" w:hAnsi="Calibri" w:eastAsia="Calibri"/>
          <w:b/>
          <w:i w:val="0"/>
          <w:color w:val="152A49"/>
          <w:sz w:val="23"/>
        </w:rPr>
        <w:t>2.  Score the five tests</w:t>
      </w:r>
    </w:p>
    <w:p>
      <w:pPr>
        <w:spacing w:before="0" w:after="60" w:line="276" w:lineRule="auto"/>
      </w:pPr>
      <w:r>
        <w:rPr>
          <w:rFonts w:ascii="Calibri" w:hAnsi="Calibri" w:eastAsia="Calibri"/>
          <w:b/>
          <w:i w:val="0"/>
          <w:color w:val="0C8A89"/>
          <w:sz w:val="20"/>
        </w:rPr>
        <w:t xml:space="preserve">What this section is for.  </w:t>
      </w:r>
      <w:r>
        <w:rPr>
          <w:rFonts w:ascii="Calibri" w:hAnsi="Calibri" w:eastAsia="Calibri"/>
          <w:b w:val="0"/>
          <w:i w:val="0"/>
          <w:color w:val="0F172A"/>
          <w:sz w:val="20"/>
        </w:rPr>
        <w:t>Judge the evidence behind the claim on five features, each scored 0, 1 or 2.</w:t>
      </w:r>
    </w:p>
    <w:tbl>
      <w:tblPr>
        <w:tblW w:type="auto" w:w="0"/>
        <w:jc w:val="left"/>
        <w:tblLayout w:type="fixed"/>
        <w:tblLook w:firstColumn="1" w:firstRow="1" w:lastColumn="0" w:lastRow="0" w:noHBand="0" w:noVBand="1" w:val="04A0"/>
        <w:tblLayout w:type="fixed"/>
        <w:tblBorders>
          <w:top w:val="single" w:sz="4" w:color="C9D2DD" w:space="0"/>
          <w:left w:val="single" w:sz="4" w:color="C9D2DD" w:space="0"/>
          <w:bottom w:val="single" w:sz="4" w:color="C9D2DD" w:space="0"/>
          <w:right w:val="single" w:sz="4" w:color="C9D2DD" w:space="0"/>
          <w:insideH w:val="single" w:sz="4" w:color="C9D2DD" w:space="0"/>
          <w:insideV w:val="single" w:sz="4" w:color="C9D2DD" w:space="0"/>
        </w:tblBorders>
      </w:tblPr>
      <w:tblGrid>
        <w:gridCol w:w="1077"/>
        <w:gridCol w:w="2040"/>
        <w:gridCol w:w="1870"/>
        <w:gridCol w:w="1984"/>
        <w:gridCol w:w="2040"/>
      </w:tblGrid>
      <w:tr>
        <w:trPr>
          <w:tblHeader w:val="true"/>
        </w:trPr>
        <w:tc>
          <w:tcPr>
            <w:tcW w:type="dxa" w:w="1077"/>
            <w:shd w:val="clear" w:color="auto" w:fill="152A49"/>
            <w:tcMar>
              <w:top w:w="70" w:type="dxa"/>
              <w:left w:w="100" w:type="dxa"/>
              <w:bottom w:w="70" w:type="dxa"/>
              <w:right w:w="100" w:type="dxa"/>
            </w:tcMar>
          </w:tcPr>
          <w:p>
            <w:r>
              <w:rPr>
                <w:rFonts w:ascii="Calibri" w:hAnsi="Calibri" w:eastAsia="Calibri"/>
                <w:b/>
                <w:i w:val="0"/>
                <w:color w:val="FFFFFF"/>
                <w:sz w:val="19"/>
              </w:rPr>
              <w:t>Test</w:t>
            </w:r>
          </w:p>
        </w:tc>
        <w:tc>
          <w:tcPr>
            <w:tcW w:type="dxa" w:w="2041"/>
            <w:shd w:val="clear" w:color="auto" w:fill="152A49"/>
            <w:tcMar>
              <w:top w:w="70" w:type="dxa"/>
              <w:left w:w="100" w:type="dxa"/>
              <w:bottom w:w="70" w:type="dxa"/>
              <w:right w:w="100" w:type="dxa"/>
            </w:tcMar>
          </w:tcPr>
          <w:p>
            <w:r>
              <w:rPr>
                <w:rFonts w:ascii="Calibri" w:hAnsi="Calibri" w:eastAsia="Calibri"/>
                <w:b/>
                <w:i w:val="0"/>
                <w:color w:val="FFFFFF"/>
                <w:sz w:val="19"/>
              </w:rPr>
              <w:t>The question</w:t>
            </w:r>
          </w:p>
        </w:tc>
        <w:tc>
          <w:tcPr>
            <w:tcW w:type="dxa" w:w="1871"/>
            <w:shd w:val="clear" w:color="auto" w:fill="152A49"/>
            <w:tcMar>
              <w:top w:w="70" w:type="dxa"/>
              <w:left w:w="100" w:type="dxa"/>
              <w:bottom w:w="70" w:type="dxa"/>
              <w:right w:w="100" w:type="dxa"/>
            </w:tcMar>
          </w:tcPr>
          <w:p>
            <w:r>
              <w:rPr>
                <w:rFonts w:ascii="Calibri" w:hAnsi="Calibri" w:eastAsia="Calibri"/>
                <w:b/>
                <w:i w:val="0"/>
                <w:color w:val="FFFFFF"/>
                <w:sz w:val="19"/>
              </w:rPr>
              <w:t>0</w:t>
            </w:r>
          </w:p>
        </w:tc>
        <w:tc>
          <w:tcPr>
            <w:tcW w:type="dxa" w:w="1984"/>
            <w:shd w:val="clear" w:color="auto" w:fill="152A49"/>
            <w:tcMar>
              <w:top w:w="70" w:type="dxa"/>
              <w:left w:w="100" w:type="dxa"/>
              <w:bottom w:w="70" w:type="dxa"/>
              <w:right w:w="100" w:type="dxa"/>
            </w:tcMar>
          </w:tcPr>
          <w:p>
            <w:r>
              <w:rPr>
                <w:rFonts w:ascii="Calibri" w:hAnsi="Calibri" w:eastAsia="Calibri"/>
                <w:b/>
                <w:i w:val="0"/>
                <w:color w:val="FFFFFF"/>
                <w:sz w:val="19"/>
              </w:rPr>
              <w:t>1</w:t>
            </w:r>
          </w:p>
        </w:tc>
        <w:tc>
          <w:tcPr>
            <w:tcW w:type="dxa" w:w="2041"/>
            <w:shd w:val="clear" w:color="auto" w:fill="152A49"/>
            <w:tcMar>
              <w:top w:w="70" w:type="dxa"/>
              <w:left w:w="100" w:type="dxa"/>
              <w:bottom w:w="70" w:type="dxa"/>
              <w:right w:w="100" w:type="dxa"/>
            </w:tcMar>
          </w:tcPr>
          <w:p>
            <w:r>
              <w:rPr>
                <w:rFonts w:ascii="Calibri" w:hAnsi="Calibri" w:eastAsia="Calibri"/>
                <w:b/>
                <w:i w:val="0"/>
                <w:color w:val="FFFFFF"/>
                <w:sz w:val="19"/>
              </w:rPr>
              <w:t>2</w:t>
            </w:r>
          </w:p>
        </w:tc>
      </w:tr>
      <w:tr>
        <w:tc>
          <w:tcPr>
            <w:tcW w:type="dxa" w:w="1077"/>
            <w:shd w:val="clear" w:color="auto" w:fill="FFFFFF"/>
            <w:tcMar>
              <w:top w:w="60" w:type="dxa"/>
              <w:left w:w="100" w:type="dxa"/>
              <w:bottom w:w="60" w:type="dxa"/>
              <w:right w:w="100" w:type="dxa"/>
            </w:tcMar>
          </w:tcPr>
          <w:p>
            <w:r>
              <w:rPr>
                <w:rFonts w:ascii="Calibri" w:hAnsi="Calibri" w:eastAsia="Calibri"/>
                <w:b w:val="0"/>
                <w:i w:val="0"/>
                <w:color w:val="0F172A"/>
                <w:sz w:val="18"/>
              </w:rPr>
              <w:t>Sources</w:t>
            </w:r>
          </w:p>
        </w:tc>
        <w:tc>
          <w:tcPr>
            <w:tcW w:type="dxa" w:w="2041"/>
            <w:shd w:val="clear" w:color="auto" w:fill="FFFFFF"/>
            <w:tcMar>
              <w:top w:w="60" w:type="dxa"/>
              <w:left w:w="100" w:type="dxa"/>
              <w:bottom w:w="60" w:type="dxa"/>
              <w:right w:w="100" w:type="dxa"/>
            </w:tcMar>
          </w:tcPr>
          <w:p>
            <w:r>
              <w:rPr>
                <w:rFonts w:ascii="Calibri" w:hAnsi="Calibri" w:eastAsia="Calibri"/>
                <w:b w:val="0"/>
                <w:i w:val="0"/>
                <w:color w:val="0F172A"/>
                <w:sz w:val="18"/>
              </w:rPr>
              <w:t>How many independent sources support the claim?</w:t>
            </w:r>
          </w:p>
        </w:tc>
        <w:tc>
          <w:tcPr>
            <w:tcW w:type="dxa" w:w="1871"/>
            <w:shd w:val="clear" w:color="auto" w:fill="FFFFFF"/>
            <w:tcMar>
              <w:top w:w="60" w:type="dxa"/>
              <w:left w:w="100" w:type="dxa"/>
              <w:bottom w:w="60" w:type="dxa"/>
              <w:right w:w="100" w:type="dxa"/>
            </w:tcMar>
          </w:tcPr>
          <w:p>
            <w:r>
              <w:rPr>
                <w:rFonts w:ascii="Calibri" w:hAnsi="Calibri" w:eastAsia="Calibri"/>
                <w:b w:val="0"/>
                <w:i w:val="0"/>
                <w:color w:val="0F172A"/>
                <w:sz w:val="18"/>
              </w:rPr>
              <w:t>One source, or sources that share an origin</w:t>
            </w:r>
          </w:p>
        </w:tc>
        <w:tc>
          <w:tcPr>
            <w:tcW w:type="dxa" w:w="1984"/>
            <w:shd w:val="clear" w:color="auto" w:fill="FFFFFF"/>
            <w:tcMar>
              <w:top w:w="60" w:type="dxa"/>
              <w:left w:w="100" w:type="dxa"/>
              <w:bottom w:w="60" w:type="dxa"/>
              <w:right w:w="100" w:type="dxa"/>
            </w:tcMar>
          </w:tcPr>
          <w:p>
            <w:r>
              <w:rPr>
                <w:rFonts w:ascii="Calibri" w:hAnsi="Calibri" w:eastAsia="Calibri"/>
                <w:b w:val="0"/>
                <w:i w:val="0"/>
                <w:color w:val="0F172A"/>
                <w:sz w:val="18"/>
              </w:rPr>
              <w:t>Two independent sources</w:t>
            </w:r>
          </w:p>
        </w:tc>
        <w:tc>
          <w:tcPr>
            <w:tcW w:type="dxa" w:w="2041"/>
            <w:shd w:val="clear" w:color="auto" w:fill="FFFFFF"/>
            <w:tcMar>
              <w:top w:w="60" w:type="dxa"/>
              <w:left w:w="100" w:type="dxa"/>
              <w:bottom w:w="60" w:type="dxa"/>
              <w:right w:w="100" w:type="dxa"/>
            </w:tcMar>
          </w:tcPr>
          <w:p>
            <w:r>
              <w:rPr>
                <w:rFonts w:ascii="Calibri" w:hAnsi="Calibri" w:eastAsia="Calibri"/>
                <w:b w:val="0"/>
                <w:i w:val="0"/>
                <w:color w:val="0F172A"/>
                <w:sz w:val="18"/>
              </w:rPr>
              <w:t>Three or more independent sources, of more than one kind</w:t>
            </w:r>
          </w:p>
        </w:tc>
      </w:tr>
      <w:tr>
        <w:tc>
          <w:tcPr>
            <w:tcW w:type="dxa" w:w="1077"/>
            <w:shd w:val="clear" w:color="auto" w:fill="F2F6F8"/>
            <w:tcMar>
              <w:top w:w="60" w:type="dxa"/>
              <w:left w:w="100" w:type="dxa"/>
              <w:bottom w:w="60" w:type="dxa"/>
              <w:right w:w="100" w:type="dxa"/>
            </w:tcMar>
          </w:tcPr>
          <w:p>
            <w:r>
              <w:rPr>
                <w:rFonts w:ascii="Calibri" w:hAnsi="Calibri" w:eastAsia="Calibri"/>
                <w:b w:val="0"/>
                <w:i w:val="0"/>
                <w:color w:val="0F172A"/>
                <w:sz w:val="18"/>
              </w:rPr>
              <w:t>Method fit</w:t>
            </w:r>
          </w:p>
        </w:tc>
        <w:tc>
          <w:tcPr>
            <w:tcW w:type="dxa" w:w="2041"/>
            <w:shd w:val="clear" w:color="auto" w:fill="F2F6F8"/>
            <w:tcMar>
              <w:top w:w="60" w:type="dxa"/>
              <w:left w:w="100" w:type="dxa"/>
              <w:bottom w:w="60" w:type="dxa"/>
              <w:right w:w="100" w:type="dxa"/>
            </w:tcMar>
          </w:tcPr>
          <w:p>
            <w:r>
              <w:rPr>
                <w:rFonts w:ascii="Calibri" w:hAnsi="Calibri" w:eastAsia="Calibri"/>
                <w:b w:val="0"/>
                <w:i w:val="0"/>
                <w:color w:val="0F172A"/>
                <w:sz w:val="18"/>
              </w:rPr>
              <w:t>Can the method used show this kind of claim?</w:t>
            </w:r>
          </w:p>
        </w:tc>
        <w:tc>
          <w:tcPr>
            <w:tcW w:type="dxa" w:w="1871"/>
            <w:shd w:val="clear" w:color="auto" w:fill="F2F6F8"/>
            <w:tcMar>
              <w:top w:w="60" w:type="dxa"/>
              <w:left w:w="100" w:type="dxa"/>
              <w:bottom w:w="60" w:type="dxa"/>
              <w:right w:w="100" w:type="dxa"/>
            </w:tcMar>
          </w:tcPr>
          <w:p>
            <w:r>
              <w:rPr>
                <w:rFonts w:ascii="Calibri" w:hAnsi="Calibri" w:eastAsia="Calibri"/>
                <w:b w:val="0"/>
                <w:i w:val="0"/>
                <w:color w:val="0F172A"/>
                <w:sz w:val="18"/>
              </w:rPr>
              <w:t>No: for example, interviews used to estimate a rate</w:t>
            </w:r>
          </w:p>
        </w:tc>
        <w:tc>
          <w:tcPr>
            <w:tcW w:type="dxa" w:w="1984"/>
            <w:shd w:val="clear" w:color="auto" w:fill="F2F6F8"/>
            <w:tcMar>
              <w:top w:w="60" w:type="dxa"/>
              <w:left w:w="100" w:type="dxa"/>
              <w:bottom w:w="60" w:type="dxa"/>
              <w:right w:w="100" w:type="dxa"/>
            </w:tcMar>
          </w:tcPr>
          <w:p>
            <w:r>
              <w:rPr>
                <w:rFonts w:ascii="Calibri" w:hAnsi="Calibri" w:eastAsia="Calibri"/>
                <w:b w:val="0"/>
                <w:i w:val="0"/>
                <w:color w:val="0F172A"/>
                <w:sz w:val="18"/>
              </w:rPr>
              <w:t>Partly: for example, a before-and-after comparison with no comparison group</w:t>
            </w:r>
          </w:p>
        </w:tc>
        <w:tc>
          <w:tcPr>
            <w:tcW w:type="dxa" w:w="2041"/>
            <w:shd w:val="clear" w:color="auto" w:fill="F2F6F8"/>
            <w:tcMar>
              <w:top w:w="60" w:type="dxa"/>
              <w:left w:w="100" w:type="dxa"/>
              <w:bottom w:w="60" w:type="dxa"/>
              <w:right w:w="100" w:type="dxa"/>
            </w:tcMar>
          </w:tcPr>
          <w:p>
            <w:r>
              <w:rPr>
                <w:rFonts w:ascii="Calibri" w:hAnsi="Calibri" w:eastAsia="Calibri"/>
                <w:b w:val="0"/>
                <w:i w:val="0"/>
                <w:color w:val="0F172A"/>
                <w:sz w:val="18"/>
              </w:rPr>
              <w:t>Yes: the method suits the claim, such as a survey with a sound sample for a rate</w:t>
            </w:r>
          </w:p>
        </w:tc>
      </w:tr>
      <w:tr>
        <w:tc>
          <w:tcPr>
            <w:tcW w:type="dxa" w:w="1077"/>
            <w:shd w:val="clear" w:color="auto" w:fill="FFFFFF"/>
            <w:tcMar>
              <w:top w:w="60" w:type="dxa"/>
              <w:left w:w="100" w:type="dxa"/>
              <w:bottom w:w="60" w:type="dxa"/>
              <w:right w:w="100" w:type="dxa"/>
            </w:tcMar>
          </w:tcPr>
          <w:p>
            <w:r>
              <w:rPr>
                <w:rFonts w:ascii="Calibri" w:hAnsi="Calibri" w:eastAsia="Calibri"/>
                <w:b w:val="0"/>
                <w:i w:val="0"/>
                <w:color w:val="0F172A"/>
                <w:sz w:val="18"/>
              </w:rPr>
              <w:t>Consistency</w:t>
            </w:r>
          </w:p>
        </w:tc>
        <w:tc>
          <w:tcPr>
            <w:tcW w:type="dxa" w:w="2041"/>
            <w:shd w:val="clear" w:color="auto" w:fill="FFFFFF"/>
            <w:tcMar>
              <w:top w:w="60" w:type="dxa"/>
              <w:left w:w="100" w:type="dxa"/>
              <w:bottom w:w="60" w:type="dxa"/>
              <w:right w:w="100" w:type="dxa"/>
            </w:tcMar>
          </w:tcPr>
          <w:p>
            <w:r>
              <w:rPr>
                <w:rFonts w:ascii="Calibri" w:hAnsi="Calibri" w:eastAsia="Calibri"/>
                <w:b w:val="0"/>
                <w:i w:val="0"/>
                <w:color w:val="0F172A"/>
                <w:sz w:val="18"/>
              </w:rPr>
              <w:t>Do the sources agree?</w:t>
            </w:r>
          </w:p>
        </w:tc>
        <w:tc>
          <w:tcPr>
            <w:tcW w:type="dxa" w:w="1871"/>
            <w:shd w:val="clear" w:color="auto" w:fill="FFFFFF"/>
            <w:tcMar>
              <w:top w:w="60" w:type="dxa"/>
              <w:left w:w="100" w:type="dxa"/>
              <w:bottom w:w="60" w:type="dxa"/>
              <w:right w:w="100" w:type="dxa"/>
            </w:tcMar>
          </w:tcPr>
          <w:p>
            <w:r>
              <w:rPr>
                <w:rFonts w:ascii="Calibri" w:hAnsi="Calibri" w:eastAsia="Calibri"/>
                <w:b w:val="0"/>
                <w:i w:val="0"/>
                <w:color w:val="0F172A"/>
                <w:sz w:val="18"/>
              </w:rPr>
              <w:t>They contradict each other, unexplained</w:t>
            </w:r>
          </w:p>
        </w:tc>
        <w:tc>
          <w:tcPr>
            <w:tcW w:type="dxa" w:w="1984"/>
            <w:shd w:val="clear" w:color="auto" w:fill="FFFFFF"/>
            <w:tcMar>
              <w:top w:w="60" w:type="dxa"/>
              <w:left w:w="100" w:type="dxa"/>
              <w:bottom w:w="60" w:type="dxa"/>
              <w:right w:w="100" w:type="dxa"/>
            </w:tcMar>
          </w:tcPr>
          <w:p>
            <w:r>
              <w:rPr>
                <w:rFonts w:ascii="Calibri" w:hAnsi="Calibri" w:eastAsia="Calibri"/>
                <w:b w:val="0"/>
                <w:i w:val="0"/>
                <w:color w:val="0F172A"/>
                <w:sz w:val="18"/>
              </w:rPr>
              <w:t>Mostly agree, with an explained exception</w:t>
            </w:r>
          </w:p>
        </w:tc>
        <w:tc>
          <w:tcPr>
            <w:tcW w:type="dxa" w:w="2041"/>
            <w:shd w:val="clear" w:color="auto" w:fill="FFFFFF"/>
            <w:tcMar>
              <w:top w:w="60" w:type="dxa"/>
              <w:left w:w="100" w:type="dxa"/>
              <w:bottom w:w="60" w:type="dxa"/>
              <w:right w:w="100" w:type="dxa"/>
            </w:tcMar>
          </w:tcPr>
          <w:p>
            <w:r>
              <w:rPr>
                <w:rFonts w:ascii="Calibri" w:hAnsi="Calibri" w:eastAsia="Calibri"/>
                <w:b w:val="0"/>
                <w:i w:val="0"/>
                <w:color w:val="0F172A"/>
                <w:sz w:val="18"/>
              </w:rPr>
              <w:t>Agree, or differences are explained and do not touch the claim</w:t>
            </w:r>
          </w:p>
        </w:tc>
      </w:tr>
      <w:tr>
        <w:tc>
          <w:tcPr>
            <w:tcW w:type="dxa" w:w="1077"/>
            <w:shd w:val="clear" w:color="auto" w:fill="F2F6F8"/>
            <w:tcMar>
              <w:top w:w="60" w:type="dxa"/>
              <w:left w:w="100" w:type="dxa"/>
              <w:bottom w:w="60" w:type="dxa"/>
              <w:right w:w="100" w:type="dxa"/>
            </w:tcMar>
          </w:tcPr>
          <w:p>
            <w:r>
              <w:rPr>
                <w:rFonts w:ascii="Calibri" w:hAnsi="Calibri" w:eastAsia="Calibri"/>
                <w:b w:val="0"/>
                <w:i w:val="0"/>
                <w:color w:val="0F172A"/>
                <w:sz w:val="18"/>
              </w:rPr>
              <w:t>Bias risk</w:t>
            </w:r>
          </w:p>
        </w:tc>
        <w:tc>
          <w:tcPr>
            <w:tcW w:type="dxa" w:w="2041"/>
            <w:shd w:val="clear" w:color="auto" w:fill="F2F6F8"/>
            <w:tcMar>
              <w:top w:w="60" w:type="dxa"/>
              <w:left w:w="100" w:type="dxa"/>
              <w:bottom w:w="60" w:type="dxa"/>
              <w:right w:w="100" w:type="dxa"/>
            </w:tcMar>
          </w:tcPr>
          <w:p>
            <w:r>
              <w:rPr>
                <w:rFonts w:ascii="Calibri" w:hAnsi="Calibri" w:eastAsia="Calibri"/>
                <w:b w:val="0"/>
                <w:i w:val="0"/>
                <w:color w:val="0F172A"/>
                <w:sz w:val="18"/>
              </w:rPr>
              <w:t>How likely is it that bias has moved the result?</w:t>
            </w:r>
          </w:p>
        </w:tc>
        <w:tc>
          <w:tcPr>
            <w:tcW w:type="dxa" w:w="1871"/>
            <w:shd w:val="clear" w:color="auto" w:fill="F2F6F8"/>
            <w:tcMar>
              <w:top w:w="60" w:type="dxa"/>
              <w:left w:w="100" w:type="dxa"/>
              <w:bottom w:w="60" w:type="dxa"/>
              <w:right w:w="100" w:type="dxa"/>
            </w:tcMar>
          </w:tcPr>
          <w:p>
            <w:r>
              <w:rPr>
                <w:rFonts w:ascii="Calibri" w:hAnsi="Calibri" w:eastAsia="Calibri"/>
                <w:b w:val="0"/>
                <w:i w:val="0"/>
                <w:color w:val="0F172A"/>
                <w:sz w:val="18"/>
              </w:rPr>
              <w:t>High: selection, recall or reporting bias is likely and untested</w:t>
            </w:r>
          </w:p>
        </w:tc>
        <w:tc>
          <w:tcPr>
            <w:tcW w:type="dxa" w:w="1984"/>
            <w:shd w:val="clear" w:color="auto" w:fill="F2F6F8"/>
            <w:tcMar>
              <w:top w:w="60" w:type="dxa"/>
              <w:left w:w="100" w:type="dxa"/>
              <w:bottom w:w="60" w:type="dxa"/>
              <w:right w:w="100" w:type="dxa"/>
            </w:tcMar>
          </w:tcPr>
          <w:p>
            <w:r>
              <w:rPr>
                <w:rFonts w:ascii="Calibri" w:hAnsi="Calibri" w:eastAsia="Calibri"/>
                <w:b w:val="0"/>
                <w:i w:val="0"/>
                <w:color w:val="0F172A"/>
                <w:sz w:val="18"/>
              </w:rPr>
              <w:t>Moderate: bias is possible and partly checked</w:t>
            </w:r>
          </w:p>
        </w:tc>
        <w:tc>
          <w:tcPr>
            <w:tcW w:type="dxa" w:w="2041"/>
            <w:shd w:val="clear" w:color="auto" w:fill="F2F6F8"/>
            <w:tcMar>
              <w:top w:w="60" w:type="dxa"/>
              <w:left w:w="100" w:type="dxa"/>
              <w:bottom w:w="60" w:type="dxa"/>
              <w:right w:w="100" w:type="dxa"/>
            </w:tcMar>
          </w:tcPr>
          <w:p>
            <w:r>
              <w:rPr>
                <w:rFonts w:ascii="Calibri" w:hAnsi="Calibri" w:eastAsia="Calibri"/>
                <w:b w:val="0"/>
                <w:i w:val="0"/>
                <w:color w:val="0F172A"/>
                <w:sz w:val="18"/>
              </w:rPr>
              <w:t>Low: bias was designed out or tested and found small</w:t>
            </w:r>
          </w:p>
        </w:tc>
      </w:tr>
      <w:tr>
        <w:tc>
          <w:tcPr>
            <w:tcW w:type="dxa" w:w="1077"/>
            <w:shd w:val="clear" w:color="auto" w:fill="FFFFFF"/>
            <w:tcMar>
              <w:top w:w="60" w:type="dxa"/>
              <w:left w:w="100" w:type="dxa"/>
              <w:bottom w:w="60" w:type="dxa"/>
              <w:right w:w="100" w:type="dxa"/>
            </w:tcMar>
          </w:tcPr>
          <w:p>
            <w:r>
              <w:rPr>
                <w:rFonts w:ascii="Calibri" w:hAnsi="Calibri" w:eastAsia="Calibri"/>
                <w:b w:val="0"/>
                <w:i w:val="0"/>
                <w:color w:val="0F172A"/>
                <w:sz w:val="18"/>
              </w:rPr>
              <w:t>Coverage</w:t>
            </w:r>
          </w:p>
        </w:tc>
        <w:tc>
          <w:tcPr>
            <w:tcW w:type="dxa" w:w="2041"/>
            <w:shd w:val="clear" w:color="auto" w:fill="FFFFFF"/>
            <w:tcMar>
              <w:top w:w="60" w:type="dxa"/>
              <w:left w:w="100" w:type="dxa"/>
              <w:bottom w:w="60" w:type="dxa"/>
              <w:right w:w="100" w:type="dxa"/>
            </w:tcMar>
          </w:tcPr>
          <w:p>
            <w:r>
              <w:rPr>
                <w:rFonts w:ascii="Calibri" w:hAnsi="Calibri" w:eastAsia="Calibri"/>
                <w:b w:val="0"/>
                <w:i w:val="0"/>
                <w:color w:val="0F172A"/>
                <w:sz w:val="18"/>
              </w:rPr>
              <w:t>Does the evidence cover the people, place and period the claim is about?</w:t>
            </w:r>
          </w:p>
        </w:tc>
        <w:tc>
          <w:tcPr>
            <w:tcW w:type="dxa" w:w="1871"/>
            <w:shd w:val="clear" w:color="auto" w:fill="FFFFFF"/>
            <w:tcMar>
              <w:top w:w="60" w:type="dxa"/>
              <w:left w:w="100" w:type="dxa"/>
              <w:bottom w:w="60" w:type="dxa"/>
              <w:right w:w="100" w:type="dxa"/>
            </w:tcMar>
          </w:tcPr>
          <w:p>
            <w:r>
              <w:rPr>
                <w:rFonts w:ascii="Calibri" w:hAnsi="Calibri" w:eastAsia="Calibri"/>
                <w:b w:val="0"/>
                <w:i w:val="0"/>
                <w:color w:val="0F172A"/>
                <w:sz w:val="18"/>
              </w:rPr>
              <w:t>Covers a small or unrepresentative part</w:t>
            </w:r>
          </w:p>
        </w:tc>
        <w:tc>
          <w:tcPr>
            <w:tcW w:type="dxa" w:w="1984"/>
            <w:shd w:val="clear" w:color="auto" w:fill="FFFFFF"/>
            <w:tcMar>
              <w:top w:w="60" w:type="dxa"/>
              <w:left w:w="100" w:type="dxa"/>
              <w:bottom w:w="60" w:type="dxa"/>
              <w:right w:w="100" w:type="dxa"/>
            </w:tcMar>
          </w:tcPr>
          <w:p>
            <w:r>
              <w:rPr>
                <w:rFonts w:ascii="Calibri" w:hAnsi="Calibri" w:eastAsia="Calibri"/>
                <w:b w:val="0"/>
                <w:i w:val="0"/>
                <w:color w:val="0F172A"/>
                <w:sz w:val="18"/>
              </w:rPr>
              <w:t>Covers part of the claim, such as two of three blocks</w:t>
            </w:r>
          </w:p>
        </w:tc>
        <w:tc>
          <w:tcPr>
            <w:tcW w:type="dxa" w:w="2041"/>
            <w:shd w:val="clear" w:color="auto" w:fill="FFFFFF"/>
            <w:tcMar>
              <w:top w:w="60" w:type="dxa"/>
              <w:left w:w="100" w:type="dxa"/>
              <w:bottom w:w="60" w:type="dxa"/>
              <w:right w:w="100" w:type="dxa"/>
            </w:tcMar>
          </w:tcPr>
          <w:p>
            <w:r>
              <w:rPr>
                <w:rFonts w:ascii="Calibri" w:hAnsi="Calibri" w:eastAsia="Calibri"/>
                <w:b w:val="0"/>
                <w:i w:val="0"/>
                <w:color w:val="0F172A"/>
                <w:sz w:val="18"/>
              </w:rPr>
              <w:t>Covers the group, place and period the claim names</w:t>
            </w:r>
          </w:p>
        </w:tc>
      </w:tr>
    </w:tbl>
    <w:p>
      <w:pPr>
        <w:spacing w:after="40"/>
      </w:pPr>
    </w:p>
    <w:tbl>
      <w:tblPr>
        <w:tblW w:type="auto" w:w="0"/>
        <w:jc w:val="left"/>
        <w:tblLayout w:type="fixed"/>
        <w:tblLook w:firstColumn="1" w:firstRow="1" w:lastColumn="0" w:lastRow="0" w:noHBand="0" w:noVBand="1" w:val="04A0"/>
        <w:tblLayout w:type="fixed"/>
        <w:tblBorders>
          <w:top w:val="single" w:sz="4" w:color="1FAE63" w:space="0"/>
          <w:left w:val="single" w:sz="24" w:color="1FAE63" w:space="0"/>
          <w:bottom w:val="single" w:sz="4" w:color="1FAE63" w:space="0"/>
          <w:right w:val="single" w:sz="4" w:color="1FAE63" w:space="0"/>
          <w:insideH w:val="single" w:sz="4" w:color="1FAE63" w:space="0"/>
          <w:insideV w:val="single" w:sz="4" w:color="1FAE63" w:space="0"/>
        </w:tblBorders>
      </w:tblPr>
      <w:tblGrid>
        <w:gridCol w:w="9014"/>
      </w:tblGrid>
      <w:tr>
        <w:tc>
          <w:tcPr>
            <w:tcW w:type="dxa" w:w="9014"/>
            <w:shd w:val="clear" w:color="auto" w:fill="EAF7EF"/>
            <w:tcMar>
              <w:top w:w="100" w:type="dxa"/>
              <w:left w:w="160" w:type="dxa"/>
              <w:bottom w:w="100" w:type="dxa"/>
              <w:right w:w="160" w:type="dxa"/>
            </w:tcMar>
          </w:tcPr>
          <w:p>
            <w:pPr>
              <w:spacing w:before="0" w:after="60" w:line="276" w:lineRule="auto"/>
            </w:pPr>
            <w:r>
              <w:rPr>
                <w:rFonts w:ascii="Calibri" w:hAnsi="Calibri" w:eastAsia="Calibri"/>
                <w:b/>
                <w:i w:val="0"/>
                <w:color w:val="14703F"/>
                <w:sz w:val="17"/>
              </w:rPr>
              <w:t>WHAT GOOD LOOKS LIKE</w:t>
            </w:r>
          </w:p>
          <w:p>
            <w:pPr>
              <w:spacing w:before="0" w:after="60" w:line="276" w:lineRule="auto"/>
            </w:pPr>
            <w:r>
              <w:rPr>
                <w:rFonts w:ascii="Calibri" w:hAnsi="Calibri" w:eastAsia="Calibri"/>
                <w:b w:val="0"/>
                <w:i w:val="0"/>
                <w:color w:val="0F172A"/>
                <w:sz w:val="19"/>
              </w:rPr>
              <w:t>Each score has a few words of reason beside it.</w:t>
            </w:r>
          </w:p>
        </w:tc>
      </w:tr>
    </w:tbl>
    <w:p>
      <w:pPr>
        <w:spacing w:after="40"/>
      </w:pPr>
    </w:p>
    <w:tbl>
      <w:tblPr>
        <w:tblW w:type="auto" w:w="0"/>
        <w:jc w:val="left"/>
        <w:tblLayout w:type="fixed"/>
        <w:tblLook w:firstColumn="1" w:firstRow="1" w:lastColumn="0" w:lastRow="0" w:noHBand="0" w:noVBand="1" w:val="04A0"/>
        <w:tblLayout w:type="fixed"/>
        <w:tblBorders>
          <w:top w:val="single" w:sz="4" w:color="E0A800" w:space="0"/>
          <w:left w:val="single" w:sz="24" w:color="E0A800" w:space="0"/>
          <w:bottom w:val="single" w:sz="4" w:color="E0A800" w:space="0"/>
          <w:right w:val="single" w:sz="4" w:color="E0A800" w:space="0"/>
          <w:insideH w:val="single" w:sz="4" w:color="E0A800" w:space="0"/>
          <w:insideV w:val="single" w:sz="4" w:color="E0A800" w:space="0"/>
        </w:tblBorders>
      </w:tblPr>
      <w:tblGrid>
        <w:gridCol w:w="9014"/>
      </w:tblGrid>
      <w:tr>
        <w:tc>
          <w:tcPr>
            <w:tcW w:type="dxa" w:w="9014"/>
            <w:shd w:val="clear" w:color="auto" w:fill="FFF7E6"/>
            <w:tcMar>
              <w:top w:w="100" w:type="dxa"/>
              <w:left w:w="160" w:type="dxa"/>
              <w:bottom w:w="100" w:type="dxa"/>
              <w:right w:w="160" w:type="dxa"/>
            </w:tcMar>
          </w:tcPr>
          <w:p>
            <w:pPr>
              <w:spacing w:before="0" w:after="60" w:line="276" w:lineRule="auto"/>
            </w:pPr>
            <w:r>
              <w:rPr>
                <w:rFonts w:ascii="Calibri" w:hAnsi="Calibri" w:eastAsia="Calibri"/>
                <w:b/>
                <w:i w:val="0"/>
                <w:color w:val="8A6100"/>
                <w:sz w:val="17"/>
              </w:rPr>
              <w:t>COMMON MISTAKES</w:t>
            </w:r>
          </w:p>
          <w:p>
            <w:pPr>
              <w:spacing w:before="0" w:after="60" w:line="276" w:lineRule="auto"/>
            </w:pPr>
            <w:r>
              <w:rPr>
                <w:rFonts w:ascii="Calibri" w:hAnsi="Calibri" w:eastAsia="Calibri"/>
                <w:b w:val="0"/>
                <w:i w:val="0"/>
                <w:color w:val="0F172A"/>
                <w:sz w:val="19"/>
              </w:rPr>
              <w:t>Scoring every test 1 because it feels safe. Use the 0 and the 2.</w:t>
            </w:r>
          </w:p>
        </w:tc>
      </w:tr>
    </w:tbl>
    <w:p>
      <w:pPr>
        <w:spacing w:after="40"/>
      </w:pPr>
    </w:p>
    <w:p>
      <w:pPr>
        <w:keepNext/>
        <w:spacing w:before="200" w:after="40" w:line="276" w:lineRule="auto"/>
      </w:pPr>
      <w:r>
        <w:rPr>
          <w:rFonts w:ascii="Calibri" w:hAnsi="Calibri" w:eastAsia="Calibri"/>
          <w:b/>
          <w:i w:val="0"/>
          <w:color w:val="152A49"/>
          <w:sz w:val="23"/>
        </w:rPr>
        <w:t>3.  Apply the cap and read the rating</w:t>
      </w:r>
    </w:p>
    <w:p>
      <w:r>
        <w:rPr>
          <w:i/>
          <w:sz w:val="18"/>
        </w:rPr>
        <w:t>Sample ends here. The full pack and its worked example arrive clean and fully editable after purchase.</w:t>
      </w:r>
    </w:p>
    <w:sectPr w:rsidR="00FC693F" w:rsidRPr="0006063C" w:rsidSect="00034616">
      <w:footerReference w:type="default" r:id="rId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alibri" w:hAnsi="Calibri" w:eastAsia="Calibri"/>
        <w:b w:val="0"/>
        <w:i w:val="0"/>
        <w:color w:val="5B6776"/>
        <w:sz w:val="15"/>
      </w:rPr>
      <w:t xml:space="preserve">© 2026 ImpactMojo · CC BY-NC-ND 4.0 · impactmojo.in        Page </w:t>
    </w:r>
    <w:r>
      <w:rPr>
        <w:rFonts w:ascii="Calibri" w:hAnsi="Calibri" w:eastAsia="Calibri"/>
        <w:b w:val="0"/>
        <w:i w:val="0"/>
        <w:color w:val="5B6776"/>
        <w:sz w:val="15"/>
      </w:rPr>
      <w:fldChar w:fldCharType="begin"/>
      <w:instrText xml:space="preserve">PAGE</w:instrText>
      <w:fldChar w:fldCharType="separate"/>
      <w:fldChar w:fldCharType="end"/>
    </w:r>
    <w:r>
      <w:rPr>
        <w:rFonts w:ascii="Calibri" w:hAnsi="Calibri" w:eastAsia="Calibri"/>
        <w:b w:val="0"/>
        <w:i w:val="0"/>
        <w:color w:val="5B6776"/>
        <w:sz w:val="15"/>
      </w:rPr>
      <w:t xml:space="preserve"> of </w:t>
    </w:r>
    <w:r>
      <w:rPr>
        <w:rFonts w:ascii="Calibri" w:hAnsi="Calibri" w:eastAsia="Calibri"/>
        <w:b w:val="0"/>
        <w:i w:val="0"/>
        <w:color w:val="5B6776"/>
        <w:sz w:val="15"/>
      </w:rPr>
      <w:fldChar w:fldCharType="begin"/>
      <w:instrText xml:space="preserve">NUMPAGES</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