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43E1C"/>
          <w:sz w:val="20"/>
        </w:rPr>
        <w:t>● SAMPLE — preview only. Not licensed for use. Buy the editable file at impactmojo.in/products</w:t>
      </w:r>
    </w:p>
    <w:p>
      <w:r>
        <w:rPr>
          <w:b/>
          <w:color w:val="0369A1"/>
        </w:rPr>
        <w:t>ImpactMojo</w:t>
      </w:r>
    </w:p>
    <w:p>
      <w:pPr>
        <w:pStyle w:val="Title"/>
      </w:pPr>
      <w:r>
        <w:t>FGD Facilitator's Guide</w:t>
      </w:r>
    </w:p>
    <w:p>
      <w:pPr>
        <w:pStyle w:val="Heading1"/>
      </w:pPr>
      <w:r>
        <w:t>Before the session</w:t>
      </w:r>
    </w:p>
    <w:p>
      <w:r>
        <w:rPr>
          <w:i/>
          <w:color w:val="64748B"/>
          <w:sz w:val="19"/>
        </w:rPr>
        <w:t>➤ recruitment, composition, consent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Question route</w:t>
      </w:r>
    </w:p>
    <w:p>
      <w:r>
        <w:rPr>
          <w:i/>
          <w:color w:val="64748B"/>
          <w:sz w:val="19"/>
        </w:rPr>
        <w:t>➤ broad to specific, with probes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Probes</w:t>
      </w:r>
    </w:p>
    <w:p>
      <w:r>
        <w:rPr>
          <w:i/>
          <w:color w:val="64748B"/>
          <w:sz w:val="19"/>
        </w:rPr>
        <w:t>➤ 'tell me more…','why?'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After</w:t>
      </w:r>
    </w:p>
    <w:p>
      <w:r>
        <w:rPr>
          <w:i/>
          <w:color w:val="64748B"/>
          <w:sz w:val="19"/>
        </w:rPr>
        <w:t>➤ debrief, transcription, storage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r>
        <w:rPr>
          <w:color w:val="94A3B8"/>
          <w:sz w:val="16"/>
        </w:rPr>
        <w:t>SAMPLE — © ImpactMojo — buy the full editable file at impactmojo.in/products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/>
      <w:pict>
        <v:shape id="wm1" type="#_x0000_t136" style="position:absolute;margin-left:0;margin-top:0;width:480pt;height:110pt;rotation:-45;z-index:-1;mso-position-horizontal:center;mso-position-horizontal-relative:margin;mso-position-vertical:center;mso-position-vertical-relative:margin" fillcolor="#d2d9e3" stroked="f">
          <v:textpath style="font-family:Arial;font-size:1pt;font-weight:bold" string="SAMPLE  •  impactmojo.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