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impactmojo.in/products/findings-storyline-template/</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Findings Storyline Template</w:t>
            </w:r>
          </w:p>
          <w:p>
            <w:pPr>
              <w:spacing w:before="0" w:after="80" w:line="276" w:lineRule="auto"/>
            </w:pPr>
            <w:r>
              <w:rPr>
                <w:rFonts w:ascii="Calibri" w:hAnsi="Calibri" w:eastAsia="Calibri"/>
                <w:b w:val="0"/>
                <w:i w:val="0"/>
                <w:color w:val="0DBEB6"/>
                <w:sz w:val="22"/>
              </w:rPr>
              <w:t>Decide what the evaluation says, in what order and with what evidence, before you write a page of the report</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a report written from the data tells the reader everything and says nothing, and how a storyline fixes that.</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storyline in seven steps: the answer, the three arguments, the findings under each, the evidence and rating, the headlines, the recommendations and the test with a colleague.</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headline rules, a one-page storyline sheet, a mapping from storyline to report sections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the storyline for a maternal and newborn health evaluation.</w:t>
            </w:r>
          </w:p>
        </w:tc>
      </w:tr>
    </w:tbl>
    <w:p>
      <w:pPr>
        <w:spacing w:after="40"/>
      </w:pPr>
    </w:p>
    <w:p>
      <w:pPr>
        <w:spacing w:before="0" w:after="80" w:line="276" w:lineRule="auto"/>
      </w:pPr>
      <w:r>
        <w:rPr>
          <w:rFonts w:ascii="Calibri" w:hAnsi="Calibri" w:eastAsia="Calibri"/>
          <w:b w:val="0"/>
          <w:i w:val="0"/>
          <w:color w:val="5B6776"/>
          <w:sz w:val="19"/>
        </w:rPr>
        <w:t>Replace every [bracketed prompt]. Write the storyline before the report, on one or two pages, in sentences. If you cannot say the answer in two sentences, you are not ready to write, and more analysis will not fix it. The storyline is for the team and the client, and it will change as the analysis does.</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write the storyline first</w:t>
      </w:r>
    </w:p>
    <w:p>
      <w:pPr>
        <w:spacing w:before="0" w:after="100" w:line="276" w:lineRule="auto"/>
      </w:pPr>
      <w:r>
        <w:rPr>
          <w:rFonts w:ascii="Calibri" w:hAnsi="Calibri" w:eastAsia="Calibri"/>
          <w:b w:val="0"/>
          <w:i w:val="0"/>
          <w:color w:val="0F172A"/>
          <w:sz w:val="21"/>
        </w:rPr>
        <w:t>Most evaluation reports follow the order of the data collection: background, methods, results by source, discussion, conclusions. The reader meets the answer on page sixty. A commissioner who has twenty minutes reads the executive summary, which was written last and in a hurry, and misses the points that matter.</w:t>
      </w:r>
    </w:p>
    <w:p>
      <w:pPr>
        <w:spacing w:before="0" w:after="100" w:line="276" w:lineRule="auto"/>
      </w:pPr>
      <w:r>
        <w:rPr>
          <w:rFonts w:ascii="Calibri" w:hAnsi="Calibri" w:eastAsia="Calibri"/>
          <w:b w:val="0"/>
          <w:i w:val="0"/>
          <w:color w:val="0F172A"/>
          <w:sz w:val="21"/>
        </w:rPr>
        <w:t>A storyline reverses the order. It starts with the answer to the client's main question, gives the three or four arguments that support it, places each finding under the argument it serves, and attaches the evidence and its strength. It is the skeleton of the report, and the executive summary is its first draft.</w:t>
      </w:r>
    </w:p>
    <w:p>
      <w:pPr>
        <w:spacing w:before="0" w:after="100" w:line="276" w:lineRule="auto"/>
      </w:pPr>
      <w:r>
        <w:rPr>
          <w:rFonts w:ascii="Calibri" w:hAnsi="Calibri" w:eastAsia="Calibri"/>
          <w:b w:val="0"/>
          <w:i w:val="0"/>
          <w:color w:val="0F172A"/>
          <w:sz w:val="21"/>
        </w:rPr>
        <w:t>The discipline is borrowed from the way consultants structure arguments: the answer first, then the reasons, then the proof. What an evaluator adds is the strength of each piece of evidence, so the story never claims more than the data allow.</w:t>
      </w:r>
    </w:p>
    <w:p>
      <w:pPr>
        <w:spacing w:before="0" w:after="100" w:line="276" w:lineRule="auto"/>
      </w:pPr>
      <w:r>
        <w:rPr>
          <w:rFonts w:ascii="Calibri" w:hAnsi="Calibri" w:eastAsia="Calibri"/>
          <w:b w:val="0"/>
          <w:i w:val="0"/>
          <w:color w:val="0F172A"/>
          <w:sz w:val="21"/>
        </w:rPr>
        <w:t>Three tests tell you the storyline is ready:</w:t>
      </w:r>
    </w:p>
    <w:p>
      <w:pPr>
        <w:pStyle w:val="ListBullet"/>
        <w:spacing w:before="0" w:after="40" w:line="276" w:lineRule="auto"/>
      </w:pPr>
      <w:r>
        <w:rPr>
          <w:rFonts w:ascii="Calibri" w:hAnsi="Calibri" w:eastAsia="Calibri"/>
          <w:b w:val="0"/>
          <w:i w:val="0"/>
          <w:color w:val="0F172A"/>
          <w:sz w:val="21"/>
        </w:rPr>
        <w:t>You can state the answer in two sentences without the word 'however'.</w:t>
      </w:r>
    </w:p>
    <w:p>
      <w:pPr>
        <w:pStyle w:val="ListBullet"/>
        <w:spacing w:before="0" w:after="40" w:line="276" w:lineRule="auto"/>
      </w:pPr>
      <w:r>
        <w:rPr>
          <w:rFonts w:ascii="Calibri" w:hAnsi="Calibri" w:eastAsia="Calibri"/>
          <w:b w:val="0"/>
          <w:i w:val="0"/>
          <w:color w:val="0F172A"/>
          <w:sz w:val="21"/>
        </w:rPr>
        <w:t>Every finding sits under one argument, and every argument has at least one strong or moderate finding beneath it.</w:t>
      </w:r>
    </w:p>
    <w:p>
      <w:pPr>
        <w:pStyle w:val="ListBullet"/>
        <w:spacing w:before="0" w:after="40" w:line="276" w:lineRule="auto"/>
      </w:pPr>
      <w:r>
        <w:rPr>
          <w:rFonts w:ascii="Calibri" w:hAnsi="Calibri" w:eastAsia="Calibri"/>
          <w:b w:val="0"/>
          <w:i w:val="0"/>
          <w:color w:val="0F172A"/>
          <w:sz w:val="21"/>
        </w:rPr>
        <w:t>A colleague who has not seen the data can repeat the story back to you.</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storyline in seven steps</w:t>
      </w:r>
    </w:p>
    <w:p>
      <w:pPr>
        <w:keepNext/>
        <w:spacing w:before="200" w:after="40" w:line="276" w:lineRule="auto"/>
      </w:pPr>
      <w:r>
        <w:rPr>
          <w:rFonts w:ascii="Calibri" w:hAnsi="Calibri" w:eastAsia="Calibri"/>
          <w:b/>
          <w:i w:val="0"/>
          <w:color w:val="152A49"/>
          <w:sz w:val="23"/>
        </w:rPr>
        <w:t>1.  The decision and the question</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Start from what the client must decide and the question that decision turns on.</w:t>
      </w:r>
    </w:p>
    <w:p>
      <w:pPr>
        <w:spacing w:before="0" w:after="80" w:line="276" w:lineRule="auto"/>
      </w:pPr>
      <w:r>
        <w:rPr>
          <w:rFonts w:ascii="Calibri" w:hAnsi="Calibri" w:eastAsia="Calibri"/>
          <w:b w:val="0"/>
          <w:i w:val="0"/>
          <w:color w:val="5B6776"/>
          <w:sz w:val="19"/>
        </w:rPr>
        <w:t>Copy both from the inception report. If the decision has changed since, say so here and tell the client.</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2948"/>
        <w:gridCol w:w="6066"/>
      </w:tblGrid>
      <w:tr>
        <w:trPr>
          <w:tblHeader w:val="true"/>
        </w:trPr>
        <w:tc>
          <w:tcPr>
            <w:tcW w:type="dxa" w:w="2948"/>
            <w:shd w:val="clear" w:color="auto" w:fill="152A49"/>
            <w:tcMar>
              <w:top w:w="70" w:type="dxa"/>
              <w:left w:w="100" w:type="dxa"/>
              <w:bottom w:w="70" w:type="dxa"/>
              <w:right w:w="100" w:type="dxa"/>
            </w:tcMar>
          </w:tcPr>
          <w:p>
            <w:r>
              <w:rPr>
                <w:rFonts w:ascii="Calibri" w:hAnsi="Calibri" w:eastAsia="Calibri"/>
                <w:b/>
                <w:i w:val="0"/>
                <w:color w:val="FFFFFF"/>
                <w:sz w:val="19"/>
              </w:rPr>
              <w:t>Field</w:t>
            </w:r>
          </w:p>
        </w:tc>
        <w:tc>
          <w:tcPr>
            <w:tcW w:type="dxa" w:w="6066"/>
            <w:shd w:val="clear" w:color="auto" w:fill="152A49"/>
            <w:tcMar>
              <w:top w:w="70" w:type="dxa"/>
              <w:left w:w="100" w:type="dxa"/>
              <w:bottom w:w="70" w:type="dxa"/>
              <w:right w:w="100" w:type="dxa"/>
            </w:tcMar>
          </w:tcPr>
          <w:p>
            <w:r>
              <w:rPr>
                <w:rFonts w:ascii="Calibri" w:hAnsi="Calibri" w:eastAsia="Calibri"/>
                <w:b/>
                <w:i w:val="0"/>
                <w:color w:val="FFFFFF"/>
                <w:sz w:val="19"/>
              </w:rPr>
              <w:t>Entry</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The decision, who makes it and by when</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2F6F8"/>
            <w:tcMar>
              <w:top w:w="60" w:type="dxa"/>
              <w:left w:w="100" w:type="dxa"/>
              <w:bottom w:w="60" w:type="dxa"/>
              <w:right w:w="100" w:type="dxa"/>
            </w:tcMar>
          </w:tcPr>
          <w:p>
            <w:r>
              <w:rPr>
                <w:rFonts w:ascii="Calibri" w:hAnsi="Calibri" w:eastAsia="Calibri"/>
                <w:b w:val="0"/>
                <w:i w:val="0"/>
                <w:color w:val="0F172A"/>
                <w:sz w:val="18"/>
              </w:rPr>
              <w:t>The question the decision turns on</w:t>
            </w:r>
          </w:p>
        </w:tc>
        <w:tc>
          <w:tcPr>
            <w:tcW w:type="dxa" w:w="6066"/>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2948"/>
            <w:shd w:val="clear" w:color="auto" w:fill="FFFFFF"/>
            <w:tcMar>
              <w:top w:w="60" w:type="dxa"/>
              <w:left w:w="100" w:type="dxa"/>
              <w:bottom w:w="60" w:type="dxa"/>
              <w:right w:w="100" w:type="dxa"/>
            </w:tcMar>
          </w:tcPr>
          <w:p>
            <w:r>
              <w:rPr>
                <w:rFonts w:ascii="Calibri" w:hAnsi="Calibri" w:eastAsia="Calibri"/>
                <w:b w:val="0"/>
                <w:i w:val="0"/>
                <w:color w:val="0F172A"/>
                <w:sz w:val="18"/>
              </w:rPr>
              <w:t>The reader we are writing for</w:t>
            </w:r>
          </w:p>
        </w:tc>
        <w:tc>
          <w:tcPr>
            <w:tcW w:type="dxa" w:w="6066"/>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The question is one the client would recognise as their own.</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Starting from the evaluation matrix. It lists questions the evaluator needs and not the question the client has.</w:t>
            </w:r>
          </w:p>
        </w:tc>
      </w:tr>
    </w:tbl>
    <w:p>
      <w:pPr>
        <w:spacing w:after="40"/>
      </w:pPr>
    </w:p>
    <w:p>
      <w:pPr>
        <w:keepNext/>
        <w:spacing w:before="200" w:after="40" w:line="276" w:lineRule="auto"/>
      </w:pPr>
      <w:r>
        <w:rPr>
          <w:rFonts w:ascii="Calibri" w:hAnsi="Calibri" w:eastAsia="Calibri"/>
          <w:b/>
          <w:i w:val="0"/>
          <w:color w:val="152A49"/>
          <w:sz w:val="23"/>
        </w:rPr>
        <w:t>2.  The answer</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Give the answer to the main question in two sentences.</w:t>
      </w:r>
    </w:p>
    <w:p>
      <w:pPr>
        <w:spacing w:before="0" w:after="80" w:line="276" w:lineRule="auto"/>
      </w:pPr>
      <w:r>
        <w:rPr>
          <w:rFonts w:ascii="Calibri" w:hAnsi="Calibri" w:eastAsia="Calibri"/>
          <w:b w:val="0"/>
          <w:i w:val="0"/>
          <w:color w:val="5B6776"/>
          <w:sz w:val="19"/>
        </w:rPr>
        <w:t>The answer comes before the reasons. Write it as a statement the client could repeat to a minister. Say how sure you are.</w:t>
      </w:r>
    </w:p>
    <w:p>
      <w:pPr>
        <w:pBdr>
          <w:bottom w:val="single" w:sz="4" w:space="1" w:color="C9D2DD"/>
        </w:pBdr>
        <w:spacing w:before="0" w:after="160" w:line="276" w:lineRule="auto"/>
      </w:pPr>
    </w:p>
    <w:p>
      <w:pPr>
        <w:pBdr>
          <w:bottom w:val="single" w:sz="4" w:space="1" w:color="C9D2DD"/>
        </w:pBdr>
        <w:spacing w:before="0" w:after="160" w:line="276" w:lineRule="auto"/>
      </w:pPr>
    </w:p>
    <w:p>
      <w:pPr>
        <w:pBdr>
          <w:bottom w:val="single" w:sz="4" w:space="1" w:color="C9D2DD"/>
        </w:pBdr>
        <w:spacing w:before="0" w:after="160" w:line="276" w:lineRule="auto"/>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It can be read aloud in fifteen seconds and does not contain a list.</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'The programme had mixed results.' It cannot be wrong and helps nobody.</w:t>
            </w:r>
          </w:p>
        </w:tc>
      </w:tr>
    </w:tbl>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