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impactmojo.in/products/inception-report-template/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26"/>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Inception Report &amp; Evaluation Matrix</w:t>
            </w:r>
          </w:p>
          <w:p>
            <w:pPr>
              <w:spacing w:before="0" w:after="80" w:line="276" w:lineRule="auto"/>
            </w:pPr>
            <w:r>
              <w:rPr>
                <w:rFonts w:ascii="Calibri" w:hAnsi="Calibri" w:eastAsia="Calibri"/>
                <w:b w:val="0"/>
                <w:i w:val="0"/>
                <w:color w:val="0DBEB6"/>
                <w:sz w:val="22"/>
              </w:rPr>
              <w:t>The complete pack: annotated inception report, evaluation matrix guide, sample-size method, client sign-off checklist and a worked example</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26"/>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What an inception report must settle before any data is collected.</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annotated inception report, thirteen sections, each with guidance, what good looks like and the mistakes to avoid, plus space to write.</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how to fill the evaluation matrix row by row, a sample-size method with a lookup table, an evidence-strength scale, a checklist your client can use to approve the report, a glossary and sources.</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selected sections of the inception report for the maternal and newborn health programme, the same case used across the ImpactMojo kit.</w:t>
            </w:r>
          </w:p>
        </w:tc>
      </w:tr>
    </w:tbl>
    <w:p>
      <w:pPr>
        <w:spacing w:after="40"/>
      </w:pPr>
    </w:p>
    <w:p>
      <w:pPr>
        <w:spacing w:before="0" w:after="80" w:line="276" w:lineRule="auto"/>
      </w:pPr>
      <w:r>
        <w:rPr>
          <w:rFonts w:ascii="Calibri" w:hAnsi="Calibri" w:eastAsia="Calibri"/>
          <w:b w:val="0"/>
          <w:i w:val="0"/>
          <w:color w:val="5B6776"/>
          <w:sz w:val="19"/>
        </w:rPr>
        <w:t>Replace every [bracketed prompt] and write on the ruled lines. Keep the grey guidance while drafting and delete it before you send the report. An inception report is a contract between you and the client about how the evaluation will run, so write each section as a commitment you can be held to. Yellow [LEGAL CHECK] notes mark the places where a statute or a signed contract changes the answer.</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What the inception report settles</w:t>
      </w:r>
    </w:p>
    <w:p>
      <w:pPr>
        <w:spacing w:before="0" w:after="100" w:line="276" w:lineRule="auto"/>
      </w:pPr>
      <w:r>
        <w:rPr>
          <w:rFonts w:ascii="Calibri" w:hAnsi="Calibri" w:eastAsia="Calibri"/>
          <w:b w:val="0"/>
          <w:i w:val="0"/>
          <w:color w:val="0F172A"/>
          <w:sz w:val="21"/>
        </w:rPr>
        <w:t>An inception report turns a bid into a plan. You write it after you have read the programme documents and spoken with the people who run the programme, and before any data is collected. It confirms the evaluation questions, shows how each will be answered, and gives the client a chance to correct a misunderstanding while the correction costs a conversation. After fieldwork the same correction costs a second round of surveys.</w:t>
      </w:r>
    </w:p>
    <w:p>
      <w:pPr>
        <w:spacing w:before="0" w:after="100" w:line="276" w:lineRule="auto"/>
      </w:pPr>
      <w:r>
        <w:rPr>
          <w:rFonts w:ascii="Calibri" w:hAnsi="Calibri" w:eastAsia="Calibri"/>
          <w:b w:val="0"/>
          <w:i w:val="0"/>
          <w:color w:val="0F172A"/>
          <w:sz w:val="21"/>
        </w:rPr>
        <w:t>Approval of the report is usually a payment milestone and always the point after which the design is fixed. Write it for two readers: the client team who approve it, and the field team who follow it.</w:t>
      </w:r>
    </w:p>
    <w:p>
      <w:pPr>
        <w:spacing w:before="0" w:after="100" w:line="276" w:lineRule="auto"/>
      </w:pPr>
      <w:r>
        <w:rPr>
          <w:rFonts w:ascii="Calibri" w:hAnsi="Calibri" w:eastAsia="Calibri"/>
          <w:b w:val="0"/>
          <w:i w:val="0"/>
          <w:color w:val="0F172A"/>
          <w:sz w:val="21"/>
        </w:rPr>
        <w:t>Five habits make an inception report useful:</w:t>
      </w:r>
    </w:p>
    <w:p>
      <w:pPr>
        <w:pStyle w:val="ListBullet"/>
        <w:spacing w:before="0" w:after="40" w:line="276" w:lineRule="auto"/>
      </w:pPr>
      <w:r>
        <w:rPr>
          <w:rFonts w:ascii="Calibri" w:hAnsi="Calibri" w:eastAsia="Calibri"/>
          <w:b w:val="0"/>
          <w:i w:val="0"/>
          <w:color w:val="0F172A"/>
          <w:sz w:val="21"/>
        </w:rPr>
        <w:t>Rebuild the theory of change from documents and conversations, and mark the assumptions the evaluation will test.</w:t>
      </w:r>
    </w:p>
    <w:p>
      <w:pPr>
        <w:pStyle w:val="ListBullet"/>
        <w:spacing w:before="0" w:after="40" w:line="276" w:lineRule="auto"/>
      </w:pPr>
      <w:r>
        <w:rPr>
          <w:rFonts w:ascii="Calibri" w:hAnsi="Calibri" w:eastAsia="Calibri"/>
          <w:b w:val="0"/>
          <w:i w:val="0"/>
          <w:color w:val="0F172A"/>
          <w:sz w:val="21"/>
        </w:rPr>
        <w:t>Reduce the ToR's questions to a short final list, and say what was merged, reworded or dropped.</w:t>
      </w:r>
    </w:p>
    <w:p>
      <w:pPr>
        <w:pStyle w:val="ListBullet"/>
        <w:spacing w:before="0" w:after="40" w:line="276" w:lineRule="auto"/>
      </w:pPr>
      <w:r>
        <w:rPr>
          <w:rFonts w:ascii="Calibri" w:hAnsi="Calibri" w:eastAsia="Calibri"/>
          <w:b w:val="0"/>
          <w:i w:val="0"/>
          <w:color w:val="0F172A"/>
          <w:sz w:val="21"/>
        </w:rPr>
        <w:t>Build the evaluation matrix first and write the design from it.</w:t>
      </w:r>
    </w:p>
    <w:p>
      <w:pPr>
        <w:pStyle w:val="ListBullet"/>
        <w:spacing w:before="0" w:after="40" w:line="276" w:lineRule="auto"/>
      </w:pPr>
      <w:r>
        <w:rPr>
          <w:rFonts w:ascii="Calibri" w:hAnsi="Calibri" w:eastAsia="Calibri"/>
          <w:b w:val="0"/>
          <w:i w:val="0"/>
          <w:color w:val="0F172A"/>
          <w:sz w:val="21"/>
        </w:rPr>
        <w:t>Show the sample-size arithmetic so the client can check every step.</w:t>
      </w:r>
    </w:p>
    <w:p>
      <w:pPr>
        <w:pStyle w:val="ListBullet"/>
        <w:spacing w:before="0" w:after="40" w:line="276" w:lineRule="auto"/>
      </w:pPr>
      <w:r>
        <w:rPr>
          <w:rFonts w:ascii="Calibri" w:hAnsi="Calibri" w:eastAsia="Calibri"/>
          <w:b w:val="0"/>
          <w:i w:val="0"/>
          <w:color w:val="0F172A"/>
          <w:sz w:val="21"/>
        </w:rPr>
        <w:t>State what the evaluation can and cannot tell the client.</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annotated inception report</w:t>
      </w:r>
    </w:p>
    <w:p>
      <w:pPr>
        <w:keepNext/>
        <w:spacing w:before="200" w:after="40" w:line="276" w:lineRule="auto"/>
      </w:pPr>
      <w:r>
        <w:rPr>
          <w:rFonts w:ascii="Calibri" w:hAnsi="Calibri" w:eastAsia="Calibri"/>
          <w:b/>
          <w:i w:val="0"/>
          <w:color w:val="152A49"/>
          <w:sz w:val="23"/>
        </w:rPr>
        <w:t>1.  Purpose, use and what has changed since the bid</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Say why the evaluation is happening, who will use it, and what you now know that you did not know when you bid.</w:t>
      </w:r>
    </w:p>
    <w:p>
      <w:pPr>
        <w:spacing w:before="0" w:after="80" w:line="276" w:lineRule="auto"/>
      </w:pPr>
      <w:r>
        <w:rPr>
          <w:rFonts w:ascii="Calibri" w:hAnsi="Calibri" w:eastAsia="Calibri"/>
          <w:b w:val="0"/>
          <w:i w:val="0"/>
          <w:color w:val="5B6776"/>
          <w:sz w:val="19"/>
        </w:rPr>
        <w:t>Open with the decision the evaluation serves and its date. Then list every change from the proposal, so the client does not discover them later. A change you disclose is a finding about the ToR. A change you hide is a dispute.</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256"/>
        <w:gridCol w:w="2256"/>
        <w:gridCol w:w="2256"/>
        <w:gridCol w:w="2256"/>
      </w:tblGrid>
      <w:tr>
        <w:trPr>
          <w:tblHeader w:val="true"/>
        </w:trPr>
        <w:tc>
          <w:tcPr>
            <w:tcW w:type="dxa" w:w="1928"/>
            <w:shd w:val="clear" w:color="auto" w:fill="152A49"/>
            <w:tcMar>
              <w:top w:w="70" w:type="dxa"/>
              <w:left w:w="100" w:type="dxa"/>
              <w:bottom w:w="70" w:type="dxa"/>
              <w:right w:w="100" w:type="dxa"/>
            </w:tcMar>
          </w:tcPr>
          <w:p>
            <w:r>
              <w:rPr>
                <w:rFonts w:ascii="Calibri" w:hAnsi="Calibri" w:eastAsia="Calibri"/>
                <w:b/>
                <w:i w:val="0"/>
                <w:color w:val="FFFFFF"/>
                <w:sz w:val="19"/>
              </w:rPr>
              <w:t>Item</w:t>
            </w:r>
          </w:p>
        </w:tc>
        <w:tc>
          <w:tcPr>
            <w:tcW w:type="dxa" w:w="2268"/>
            <w:shd w:val="clear" w:color="auto" w:fill="152A49"/>
            <w:tcMar>
              <w:top w:w="70" w:type="dxa"/>
              <w:left w:w="100" w:type="dxa"/>
              <w:bottom w:w="70" w:type="dxa"/>
              <w:right w:w="100" w:type="dxa"/>
            </w:tcMar>
          </w:tcPr>
          <w:p>
            <w:r>
              <w:rPr>
                <w:rFonts w:ascii="Calibri" w:hAnsi="Calibri" w:eastAsia="Calibri"/>
                <w:b/>
                <w:i w:val="0"/>
                <w:color w:val="FFFFFF"/>
                <w:sz w:val="19"/>
              </w:rPr>
              <w:t>At proposal</w:t>
            </w:r>
          </w:p>
        </w:tc>
        <w:tc>
          <w:tcPr>
            <w:tcW w:type="dxa" w:w="2268"/>
            <w:shd w:val="clear" w:color="auto" w:fill="152A49"/>
            <w:tcMar>
              <w:top w:w="70" w:type="dxa"/>
              <w:left w:w="100" w:type="dxa"/>
              <w:bottom w:w="70" w:type="dxa"/>
              <w:right w:w="100" w:type="dxa"/>
            </w:tcMar>
          </w:tcPr>
          <w:p>
            <w:r>
              <w:rPr>
                <w:rFonts w:ascii="Calibri" w:hAnsi="Calibri" w:eastAsia="Calibri"/>
                <w:b/>
                <w:i w:val="0"/>
                <w:color w:val="FFFFFF"/>
                <w:sz w:val="19"/>
              </w:rPr>
              <w:t>Now</w:t>
            </w:r>
          </w:p>
        </w:tc>
        <w:tc>
          <w:tcPr>
            <w:tcW w:type="dxa" w:w="2551"/>
            <w:shd w:val="clear" w:color="auto" w:fill="152A49"/>
            <w:tcMar>
              <w:top w:w="70" w:type="dxa"/>
              <w:left w:w="100" w:type="dxa"/>
              <w:bottom w:w="70" w:type="dxa"/>
              <w:right w:w="100" w:type="dxa"/>
            </w:tcMar>
          </w:tcPr>
          <w:p>
            <w:r>
              <w:rPr>
                <w:rFonts w:ascii="Calibri" w:hAnsi="Calibri" w:eastAsia="Calibri"/>
                <w:b/>
                <w:i w:val="0"/>
                <w:color w:val="FFFFFF"/>
                <w:sz w:val="19"/>
              </w:rPr>
              <w:t>Reason</w:t>
            </w:r>
          </w:p>
        </w:tc>
      </w:tr>
      <w:tr>
        <w:tc>
          <w:tcPr>
            <w:tcW w:type="dxa" w:w="1928"/>
            <w:shd w:val="clear" w:color="auto" w:fill="FFFFFF"/>
            <w:tcMar>
              <w:top w:w="60" w:type="dxa"/>
              <w:left w:w="100" w:type="dxa"/>
              <w:bottom w:w="60" w:type="dxa"/>
              <w:right w:w="100" w:type="dxa"/>
            </w:tcMar>
          </w:tcPr>
          <w:p>
            <w:r>
              <w:rPr>
                <w:rFonts w:ascii="Calibri" w:hAnsi="Calibri" w:eastAsia="Calibri"/>
                <w:b w:val="0"/>
                <w:i w:val="0"/>
                <w:color w:val="0F172A"/>
                <w:sz w:val="18"/>
              </w:rPr>
              <w:t>[Comparison group]</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55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1928"/>
            <w:shd w:val="clear" w:color="auto" w:fill="F2F6F8"/>
            <w:tcMar>
              <w:top w:w="60" w:type="dxa"/>
              <w:left w:w="100" w:type="dxa"/>
              <w:bottom w:w="60" w:type="dxa"/>
              <w:right w:w="100" w:type="dxa"/>
            </w:tcMar>
          </w:tcPr>
          <w:p>
            <w:r>
              <w:rPr>
                <w:rFonts w:ascii="Calibri" w:hAnsi="Calibri" w:eastAsia="Calibri"/>
                <w:b w:val="0"/>
                <w:i w:val="0"/>
                <w:color w:val="0F172A"/>
                <w:sz w:val="18"/>
              </w:rPr>
              <w:t>[Sample or timeline]</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2551"/>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192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55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26"/>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A client who has not read the proposal for a month can see in one table what moved and why.</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26"/>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Repeating the proposal word for word. The inception phase exists because you learned something, so the report must show it.</w:t>
            </w:r>
          </w:p>
        </w:tc>
      </w:tr>
    </w:tbl>
    <w:p>
      <w:pPr>
        <w:spacing w:after="40"/>
      </w:pPr>
    </w:p>
    <w:p>
      <w:pPr>
        <w:keepNext/>
        <w:spacing w:before="200" w:after="40" w:line="276" w:lineRule="auto"/>
      </w:pPr>
      <w:r>
        <w:rPr>
          <w:rFonts w:ascii="Calibri" w:hAnsi="Calibri" w:eastAsia="Calibri"/>
          <w:b/>
          <w:i w:val="0"/>
          <w:color w:val="152A49"/>
          <w:sz w:val="23"/>
        </w:rPr>
        <w:t>2.  Programme and theory of change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Describe what the programme does and how it expects change to happen, in a form the evaluation can test.</w:t>
      </w:r>
    </w:p>
    <w:p>
      <w:pPr>
        <w:spacing w:before="0" w:after="80" w:line="276" w:lineRule="auto"/>
      </w:pPr>
      <w:r>
        <w:rPr>
          <w:rFonts w:ascii="Calibri" w:hAnsi="Calibri" w:eastAsia="Calibri"/>
          <w:b w:val="0"/>
          <w:i w:val="0"/>
          <w:color w:val="5B6776"/>
          <w:sz w:val="19"/>
        </w:rPr>
        <w:t>Reconstruct the theory of change from the programme documents and your conversations, then ask the programme team to correct it. Draw it on one page and annex the diagram. Mark each assumption the evaluation will test, because those assumptions become evaluation questions.</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3009"/>
        <w:gridCol w:w="3009"/>
        <w:gridCol w:w="3009"/>
      </w:tblGrid>
      <w:tr>
        <w:trPr>
          <w:tblHeader w:val="true"/>
        </w:trPr>
        <w:tc>
          <w:tcPr>
            <w:tcW w:type="dxa" w:w="1474"/>
            <w:shd w:val="clear" w:color="auto" w:fill="152A49"/>
            <w:tcMar>
              <w:top w:w="70" w:type="dxa"/>
              <w:left w:w="100" w:type="dxa"/>
              <w:bottom w:w="70" w:type="dxa"/>
              <w:right w:w="100" w:type="dxa"/>
            </w:tcMar>
          </w:tcPr>
          <w:p>
            <w:r>
              <w:rPr>
                <w:rFonts w:ascii="Calibri" w:hAnsi="Calibri" w:eastAsia="Calibri"/>
                <w:b/>
                <w:i w:val="0"/>
                <w:color w:val="FFFFFF"/>
                <w:sz w:val="19"/>
              </w:rPr>
              <w:t>Level</w:t>
            </w:r>
          </w:p>
        </w:tc>
        <w:tc>
          <w:tcPr>
            <w:tcW w:type="dxa" w:w="3969"/>
            <w:shd w:val="clear" w:color="auto" w:fill="152A49"/>
            <w:tcMar>
              <w:top w:w="70" w:type="dxa"/>
              <w:left w:w="100" w:type="dxa"/>
              <w:bottom w:w="70" w:type="dxa"/>
              <w:right w:w="100" w:type="dxa"/>
            </w:tcMar>
          </w:tcPr>
          <w:p>
            <w:r>
              <w:rPr>
                <w:rFonts w:ascii="Calibri" w:hAnsi="Calibri" w:eastAsia="Calibri"/>
                <w:b/>
                <w:i w:val="0"/>
                <w:color w:val="FFFFFF"/>
                <w:sz w:val="19"/>
              </w:rPr>
              <w:t>Statement</w:t>
            </w:r>
          </w:p>
        </w:tc>
        <w:tc>
          <w:tcPr>
            <w:tcW w:type="dxa" w:w="3572"/>
            <w:shd w:val="clear" w:color="auto" w:fill="152A49"/>
            <w:tcMar>
              <w:top w:w="70" w:type="dxa"/>
              <w:left w:w="100" w:type="dxa"/>
              <w:bottom w:w="70" w:type="dxa"/>
              <w:right w:w="100" w:type="dxa"/>
            </w:tcMar>
          </w:tcPr>
          <w:p>
            <w:r>
              <w:rPr>
                <w:rFonts w:ascii="Calibri" w:hAnsi="Calibri" w:eastAsia="Calibri"/>
                <w:b/>
                <w:i w:val="0"/>
                <w:color w:val="FFFFFF"/>
                <w:sz w:val="19"/>
              </w:rPr>
              <w:t>Assumption to test</w:t>
            </w:r>
          </w:p>
        </w:tc>
      </w:tr>
      <w:tr>
        <w:tc>
          <w:tcPr>
            <w:tcW w:type="dxa" w:w="1474"/>
            <w:shd w:val="clear" w:color="auto" w:fill="FFFFFF"/>
            <w:tcMar>
              <w:top w:w="60" w:type="dxa"/>
              <w:left w:w="100" w:type="dxa"/>
              <w:bottom w:w="60" w:type="dxa"/>
              <w:right w:w="100" w:type="dxa"/>
            </w:tcMar>
          </w:tcPr>
          <w:p>
            <w:r>
              <w:rPr>
                <w:rFonts w:ascii="Calibri" w:hAnsi="Calibri" w:eastAsia="Calibri"/>
                <w:b w:val="0"/>
                <w:i w:val="0"/>
                <w:color w:val="0F172A"/>
                <w:sz w:val="18"/>
              </w:rPr>
              <w:t>Activities</w:t>
            </w:r>
          </w:p>
        </w:tc>
        <w:tc>
          <w:tcPr>
            <w:tcW w:type="dxa" w:w="3969"/>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3572"/>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1474"/>
            <w:shd w:val="clear" w:color="auto" w:fill="F2F6F8"/>
            <w:tcMar>
              <w:top w:w="60" w:type="dxa"/>
              <w:left w:w="100" w:type="dxa"/>
              <w:bottom w:w="60" w:type="dxa"/>
              <w:right w:w="100" w:type="dxa"/>
            </w:tcMar>
          </w:tcPr>
          <w:p>
            <w:r>
              <w:rPr>
                <w:rFonts w:ascii="Calibri" w:hAnsi="Calibri" w:eastAsia="Calibri"/>
                <w:b w:val="0"/>
                <w:i w:val="0"/>
                <w:color w:val="0F172A"/>
                <w:sz w:val="18"/>
              </w:rPr>
              <w:t>Outputs</w:t>
            </w:r>
          </w:p>
        </w:tc>
        <w:tc>
          <w:tcPr>
            <w:tcW w:type="dxa" w:w="3969"/>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3572"/>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1474"/>
            <w:shd w:val="clear" w:color="auto" w:fill="FFFFFF"/>
            <w:tcMar>
              <w:top w:w="60" w:type="dxa"/>
              <w:left w:w="100" w:type="dxa"/>
              <w:bottom w:w="60" w:type="dxa"/>
              <w:right w:w="100" w:type="dxa"/>
            </w:tcMar>
          </w:tcPr>
          <w:p>
            <w:r>
              <w:rPr>
                <w:rFonts w:ascii="Calibri" w:hAnsi="Calibri" w:eastAsia="Calibri"/>
                <w:b w:val="0"/>
                <w:i w:val="0"/>
                <w:color w:val="0F172A"/>
                <w:sz w:val="18"/>
              </w:rPr>
              <w:t>Outcomes</w:t>
            </w:r>
          </w:p>
        </w:tc>
        <w:tc>
          <w:tcPr>
            <w:tcW w:type="dxa" w:w="3969"/>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3572"/>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1474"/>
            <w:shd w:val="clear" w:color="auto" w:fill="F2F6F8"/>
            <w:tcMar>
              <w:top w:w="60" w:type="dxa"/>
              <w:left w:w="100" w:type="dxa"/>
              <w:bottom w:w="60" w:type="dxa"/>
              <w:right w:w="100" w:type="dxa"/>
            </w:tcMar>
          </w:tcPr>
          <w:p>
            <w:r>
              <w:rPr>
                <w:rFonts w:ascii="Calibri" w:hAnsi="Calibri" w:eastAsia="Calibri"/>
                <w:b w:val="0"/>
                <w:i w:val="0"/>
                <w:color w:val="0F172A"/>
                <w:sz w:val="18"/>
              </w:rPr>
              <w:t>Impact</w:t>
            </w:r>
          </w:p>
        </w:tc>
        <w:tc>
          <w:tcPr>
            <w:tcW w:type="dxa" w:w="3969"/>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3572"/>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26"/>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programme team has read the diagram and agrees it describes what they do. Every assumption is either tested or listed as outside scope.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26"/>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Copying the logframe as if it were a theory. A logframe lists results. A theory of change explains why one should lead to the next.</w:t>
            </w:r>
          </w:p>
        </w:tc>
      </w:tr>
    </w:tbl>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