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impactmojo.in/products/sow-change-request-template/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26"/>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Statement of Work &amp; Change Request</w:t>
            </w:r>
          </w:p>
          <w:p>
            <w:pPr>
              <w:spacing w:before="0" w:after="80" w:line="276" w:lineRule="auto"/>
            </w:pPr>
            <w:r>
              <w:rPr>
                <w:rFonts w:ascii="Calibri" w:hAnsi="Calibri" w:eastAsia="Calibri"/>
                <w:b w:val="0"/>
                <w:i w:val="0"/>
                <w:color w:val="0DBEB6"/>
                <w:sz w:val="22"/>
              </w:rPr>
              <w:t>The complete pack: annotated statement of work, change request form, clause bank and a worked example</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26"/>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scope disputes start before the work does, and what a statement of work settles.</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annotated statement of work, thirteen sections, each with guidance, what good looks like and the mistakes to avoid, plus space to write. A one-page change request form follows.</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a clause bank in plain language, a payment-milestone chooser, questions to ask when the client sends its own contract, a glossary and sources.</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the evaluator's statement of work and one change request for the maternal and newborn health programme, the same case used across the ImpactMojo kit.</w:t>
            </w:r>
          </w:p>
        </w:tc>
      </w:tr>
    </w:tbl>
    <w:p>
      <w:pPr>
        <w:spacing w:after="40"/>
      </w:pPr>
    </w:p>
    <w:p>
      <w:pPr>
        <w:spacing w:before="0" w:after="80" w:line="276" w:lineRule="auto"/>
      </w:pPr>
      <w:r>
        <w:rPr>
          <w:rFonts w:ascii="Calibri" w:hAnsi="Calibri" w:eastAsia="Calibri"/>
          <w:b w:val="0"/>
          <w:i w:val="0"/>
          <w:color w:val="5B6776"/>
          <w:sz w:val="19"/>
        </w:rPr>
        <w:t>Replace every [bracketed prompt] and write on the ruled lines. Keep the grey guidance while drafting and delete it before you send the document. A statement of work is written by the person who does the work for the person who pays for it, so write it in the plain language both can read. This pack is a drafting aid, so have a lawyer read the final contract. Yellow [LEGAL CHECK] notes mark the places where a statute, a tax rule or a signed contract changes the answer.</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the contract is where scope is won or lost</w:t>
      </w:r>
    </w:p>
    <w:p>
      <w:pPr>
        <w:spacing w:before="0" w:after="100" w:line="276" w:lineRule="auto"/>
      </w:pPr>
      <w:r>
        <w:rPr>
          <w:rFonts w:ascii="Calibri" w:hAnsi="Calibri" w:eastAsia="Calibri"/>
          <w:b w:val="0"/>
          <w:i w:val="0"/>
          <w:color w:val="0F172A"/>
          <w:sz w:val="21"/>
        </w:rPr>
        <w:t>Most disputes in an evaluation assignment are about one of four things: what was included, how many rounds of comments there would be, when the money was due, and who had the last word on the findings. Each of the four can be settled in an afternoon before signing. After signing, each takes weeks and costs goodwill that the next assignment depends on.</w:t>
      </w:r>
    </w:p>
    <w:p>
      <w:pPr>
        <w:spacing w:before="0" w:after="100" w:line="276" w:lineRule="auto"/>
      </w:pPr>
      <w:r>
        <w:rPr>
          <w:rFonts w:ascii="Calibri" w:hAnsi="Calibri" w:eastAsia="Calibri"/>
          <w:b w:val="0"/>
          <w:i w:val="0"/>
          <w:color w:val="0F172A"/>
          <w:sz w:val="21"/>
        </w:rPr>
        <w:t>A terms of reference says what the client wants. A statement of work says what you will deliver, to what standard, by when, for what fee, and what happens when the client asks for something else. It is a schedule to the contract or the contract's operative page. If the client has a fixed contract you cannot change, use Part B as a list of questions to raise before you sign.</w:t>
      </w:r>
    </w:p>
    <w:p>
      <w:pPr>
        <w:spacing w:before="0" w:after="100" w:line="276" w:lineRule="auto"/>
      </w:pPr>
      <w:r>
        <w:rPr>
          <w:rFonts w:ascii="Calibri" w:hAnsi="Calibri" w:eastAsia="Calibri"/>
          <w:b w:val="0"/>
          <w:i w:val="0"/>
          <w:color w:val="0F172A"/>
          <w:sz w:val="21"/>
        </w:rPr>
        <w:t>Four habits keep a statement of work honest:</w:t>
      </w:r>
    </w:p>
    <w:p>
      <w:pPr>
        <w:pStyle w:val="ListBullet"/>
        <w:spacing w:before="0" w:after="40" w:line="276" w:lineRule="auto"/>
      </w:pPr>
      <w:r>
        <w:rPr>
          <w:rFonts w:ascii="Calibri" w:hAnsi="Calibri" w:eastAsia="Calibri"/>
          <w:b w:val="0"/>
          <w:i w:val="0"/>
          <w:color w:val="0F172A"/>
          <w:sz w:val="21"/>
        </w:rPr>
        <w:t>Describe every deliverable with a length, a format and a number of review rounds.</w:t>
      </w:r>
    </w:p>
    <w:p>
      <w:pPr>
        <w:pStyle w:val="ListBullet"/>
        <w:spacing w:before="0" w:after="40" w:line="276" w:lineRule="auto"/>
      </w:pPr>
      <w:r>
        <w:rPr>
          <w:rFonts w:ascii="Calibri" w:hAnsi="Calibri" w:eastAsia="Calibri"/>
          <w:b w:val="0"/>
          <w:i w:val="0"/>
          <w:color w:val="0F172A"/>
          <w:sz w:val="21"/>
        </w:rPr>
        <w:t>Write the exclusions as carefully as the inclusions.</w:t>
      </w:r>
    </w:p>
    <w:p>
      <w:pPr>
        <w:pStyle w:val="ListBullet"/>
        <w:spacing w:before="0" w:after="40" w:line="276" w:lineRule="auto"/>
      </w:pPr>
      <w:r>
        <w:rPr>
          <w:rFonts w:ascii="Calibri" w:hAnsi="Calibri" w:eastAsia="Calibri"/>
          <w:b w:val="0"/>
          <w:i w:val="0"/>
          <w:color w:val="0F172A"/>
          <w:sz w:val="21"/>
        </w:rPr>
        <w:t>Tie each payment to something you control, such as submission, with a fixed period for the client to respond.</w:t>
      </w:r>
    </w:p>
    <w:p>
      <w:pPr>
        <w:pStyle w:val="ListBullet"/>
        <w:spacing w:before="0" w:after="40" w:line="276" w:lineRule="auto"/>
      </w:pPr>
      <w:r>
        <w:rPr>
          <w:rFonts w:ascii="Calibri" w:hAnsi="Calibri" w:eastAsia="Calibri"/>
          <w:b w:val="0"/>
          <w:i w:val="0"/>
          <w:color w:val="0F172A"/>
          <w:sz w:val="21"/>
        </w:rPr>
        <w:t>Agree before signing how a change is requested, priced and approved.</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annotated statement of work</w:t>
      </w:r>
    </w:p>
    <w:p>
      <w:pPr>
        <w:keepNext/>
        <w:spacing w:before="200" w:after="40" w:line="276" w:lineRule="auto"/>
      </w:pPr>
      <w:r>
        <w:rPr>
          <w:rFonts w:ascii="Calibri" w:hAnsi="Calibri" w:eastAsia="Calibri"/>
          <w:b/>
          <w:i w:val="0"/>
          <w:color w:val="152A49"/>
          <w:sz w:val="23"/>
        </w:rPr>
        <w:t>1.  Parties and assignment title</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Say who is contracting, and give the assignment one short name that every later document uses.</w:t>
      </w:r>
    </w:p>
    <w:p>
      <w:pPr>
        <w:spacing w:before="0" w:after="80" w:line="276" w:lineRule="auto"/>
      </w:pPr>
      <w:r>
        <w:rPr>
          <w:rFonts w:ascii="Calibri" w:hAnsi="Calibri" w:eastAsia="Calibri"/>
          <w:b w:val="0"/>
          <w:i w:val="0"/>
          <w:color w:val="5B6776"/>
          <w:sz w:val="19"/>
        </w:rPr>
        <w:t>Use legal names and registered addresses. Name one contract manager on each side. The invoice, the tax deduction certificate and any dispute follow the legal entity that signed.</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4513"/>
        <w:gridCol w:w="4513"/>
      </w:tblGrid>
      <w:tr>
        <w:trPr>
          <w:tblHeader w:val="true"/>
        </w:trPr>
        <w:tc>
          <w:tcPr>
            <w:tcW w:type="dxa" w:w="3515"/>
            <w:shd w:val="clear" w:color="auto" w:fill="152A49"/>
            <w:tcMar>
              <w:top w:w="70" w:type="dxa"/>
              <w:left w:w="100" w:type="dxa"/>
              <w:bottom w:w="70" w:type="dxa"/>
              <w:right w:w="100" w:type="dxa"/>
            </w:tcMar>
          </w:tcPr>
          <w:p>
            <w:r>
              <w:rPr>
                <w:rFonts w:ascii="Calibri" w:hAnsi="Calibri" w:eastAsia="Calibri"/>
                <w:b/>
                <w:i w:val="0"/>
                <w:color w:val="FFFFFF"/>
                <w:sz w:val="19"/>
              </w:rPr>
              <w:t>Field</w:t>
            </w:r>
          </w:p>
        </w:tc>
        <w:tc>
          <w:tcPr>
            <w:tcW w:type="dxa" w:w="5499"/>
            <w:shd w:val="clear" w:color="auto" w:fill="152A49"/>
            <w:tcMar>
              <w:top w:w="70" w:type="dxa"/>
              <w:left w:w="100" w:type="dxa"/>
              <w:bottom w:w="70" w:type="dxa"/>
              <w:right w:w="100" w:type="dxa"/>
            </w:tcMar>
          </w:tcPr>
          <w:p>
            <w:r>
              <w:rPr>
                <w:rFonts w:ascii="Calibri" w:hAnsi="Calibri" w:eastAsia="Calibri"/>
                <w:b/>
                <w:i w:val="0"/>
                <w:color w:val="FFFFFF"/>
                <w:sz w:val="19"/>
              </w:rPr>
              <w:t>Entry</w:t>
            </w:r>
          </w:p>
        </w:tc>
      </w:tr>
      <w:tr>
        <w:tc>
          <w:tcPr>
            <w:tcW w:type="dxa" w:w="3515"/>
            <w:shd w:val="clear" w:color="auto" w:fill="FFFFFF"/>
            <w:tcMar>
              <w:top w:w="60" w:type="dxa"/>
              <w:left w:w="100" w:type="dxa"/>
              <w:bottom w:w="60" w:type="dxa"/>
              <w:right w:w="100" w:type="dxa"/>
            </w:tcMar>
          </w:tcPr>
          <w:p>
            <w:r>
              <w:rPr>
                <w:rFonts w:ascii="Calibri" w:hAnsi="Calibri" w:eastAsia="Calibri"/>
                <w:b w:val="0"/>
                <w:i w:val="0"/>
                <w:color w:val="0F172A"/>
                <w:sz w:val="18"/>
              </w:rPr>
              <w:t>Client (legal name and address)</w:t>
            </w:r>
          </w:p>
        </w:tc>
        <w:tc>
          <w:tcPr>
            <w:tcW w:type="dxa" w:w="549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2F6F8"/>
            <w:tcMar>
              <w:top w:w="60" w:type="dxa"/>
              <w:left w:w="100" w:type="dxa"/>
              <w:bottom w:w="60" w:type="dxa"/>
              <w:right w:w="100" w:type="dxa"/>
            </w:tcMar>
          </w:tcPr>
          <w:p>
            <w:r>
              <w:rPr>
                <w:rFonts w:ascii="Calibri" w:hAnsi="Calibri" w:eastAsia="Calibri"/>
                <w:b w:val="0"/>
                <w:i w:val="0"/>
                <w:color w:val="0F172A"/>
                <w:sz w:val="18"/>
              </w:rPr>
              <w:t>Evaluator (legal name, registration, address)</w:t>
            </w:r>
          </w:p>
        </w:tc>
        <w:tc>
          <w:tcPr>
            <w:tcW w:type="dxa" w:w="5499"/>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FFFFF"/>
            <w:tcMar>
              <w:top w:w="60" w:type="dxa"/>
              <w:left w:w="100" w:type="dxa"/>
              <w:bottom w:w="60" w:type="dxa"/>
              <w:right w:w="100" w:type="dxa"/>
            </w:tcMar>
          </w:tcPr>
          <w:p>
            <w:r>
              <w:rPr>
                <w:rFonts w:ascii="Calibri" w:hAnsi="Calibri" w:eastAsia="Calibri"/>
                <w:b w:val="0"/>
                <w:i w:val="0"/>
                <w:color w:val="0F172A"/>
                <w:sz w:val="18"/>
              </w:rPr>
              <w:t>Assignment title</w:t>
            </w:r>
          </w:p>
        </w:tc>
        <w:tc>
          <w:tcPr>
            <w:tcW w:type="dxa" w:w="549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2F6F8"/>
            <w:tcMar>
              <w:top w:w="60" w:type="dxa"/>
              <w:left w:w="100" w:type="dxa"/>
              <w:bottom w:w="60" w:type="dxa"/>
              <w:right w:w="100" w:type="dxa"/>
            </w:tcMar>
          </w:tcPr>
          <w:p>
            <w:r>
              <w:rPr>
                <w:rFonts w:ascii="Calibri" w:hAnsi="Calibri" w:eastAsia="Calibri"/>
                <w:b w:val="0"/>
                <w:i w:val="0"/>
                <w:color w:val="0F172A"/>
                <w:sz w:val="18"/>
              </w:rPr>
              <w:t>Contract or purchase order number</w:t>
            </w:r>
          </w:p>
        </w:tc>
        <w:tc>
          <w:tcPr>
            <w:tcW w:type="dxa" w:w="5499"/>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FFFFF"/>
            <w:tcMar>
              <w:top w:w="60" w:type="dxa"/>
              <w:left w:w="100" w:type="dxa"/>
              <w:bottom w:w="60" w:type="dxa"/>
              <w:right w:w="100" w:type="dxa"/>
            </w:tcMar>
          </w:tcPr>
          <w:p>
            <w:r>
              <w:rPr>
                <w:rFonts w:ascii="Calibri" w:hAnsi="Calibri" w:eastAsia="Calibri"/>
                <w:b w:val="0"/>
                <w:i w:val="0"/>
                <w:color w:val="0F172A"/>
                <w:sz w:val="18"/>
              </w:rPr>
              <w:t>Client contract manager</w:t>
            </w:r>
          </w:p>
        </w:tc>
        <w:tc>
          <w:tcPr>
            <w:tcW w:type="dxa" w:w="549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2F6F8"/>
            <w:tcMar>
              <w:top w:w="60" w:type="dxa"/>
              <w:left w:w="100" w:type="dxa"/>
              <w:bottom w:w="60" w:type="dxa"/>
              <w:right w:w="100" w:type="dxa"/>
            </w:tcMar>
          </w:tcPr>
          <w:p>
            <w:r>
              <w:rPr>
                <w:rFonts w:ascii="Calibri" w:hAnsi="Calibri" w:eastAsia="Calibri"/>
                <w:b w:val="0"/>
                <w:i w:val="0"/>
                <w:color w:val="0F172A"/>
                <w:sz w:val="18"/>
              </w:rPr>
              <w:t>Evaluator lead</w:t>
            </w:r>
          </w:p>
        </w:tc>
        <w:tc>
          <w:tcPr>
            <w:tcW w:type="dxa" w:w="5499"/>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FFFFF"/>
            <w:tcMar>
              <w:top w:w="60" w:type="dxa"/>
              <w:left w:w="100" w:type="dxa"/>
              <w:bottom w:w="60" w:type="dxa"/>
              <w:right w:w="100" w:type="dxa"/>
            </w:tcMar>
          </w:tcPr>
          <w:p>
            <w:r>
              <w:rPr>
                <w:rFonts w:ascii="Calibri" w:hAnsi="Calibri" w:eastAsia="Calibri"/>
                <w:b w:val="0"/>
                <w:i w:val="0"/>
                <w:color w:val="0F172A"/>
                <w:sz w:val="18"/>
              </w:rPr>
              <w:t>Start date / end date</w:t>
            </w:r>
          </w:p>
        </w:tc>
        <w:tc>
          <w:tcPr>
            <w:tcW w:type="dxa" w:w="5499"/>
            <w:shd w:val="clear" w:color="auto" w:fill="FFFFFF"/>
            <w:tcMar>
              <w:top w:w="60" w:type="dxa"/>
              <w:left w:w="100" w:type="dxa"/>
              <w:bottom w:w="60" w:type="dxa"/>
              <w:right w:w="100" w:type="dxa"/>
            </w:tcMar>
          </w:tcPr>
          <w:p>
            <w:r>
              <w:rPr>
                <w:rFonts w:ascii="Calibri" w:hAnsi="Calibri" w:eastAsia="Calibri"/>
                <w:b w:val="0"/>
                <w:i w:val="0"/>
                <w:color w:val="0F172A"/>
                <w:sz w:val="18"/>
              </w:rPr>
              <w:t>[ ] / [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26"/>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Legal names match the registration documents, and each side has one named person for day-to-day questions.</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26"/>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A programme's brand name in place of the entity that signs, so the invoice goes to an organisation that never agreed to pay it.</w:t>
            </w:r>
          </w:p>
        </w:tc>
      </w:tr>
    </w:tbl>
    <w:p>
      <w:pPr>
        <w:spacing w:after="40"/>
      </w:pPr>
    </w:p>
    <w:p>
      <w:pPr>
        <w:keepNext/>
        <w:spacing w:before="200" w:after="40" w:line="276" w:lineRule="auto"/>
      </w:pPr>
      <w:r>
        <w:rPr>
          <w:rFonts w:ascii="Calibri" w:hAnsi="Calibri" w:eastAsia="Calibri"/>
          <w:b/>
          <w:i w:val="0"/>
          <w:color w:val="152A49"/>
          <w:sz w:val="23"/>
        </w:rPr>
        <w:t>2.  Purpose and the decision served</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Restate in one paragraph why the evaluation is happening and which decision it informs, in the client's own words.</w:t>
      </w:r>
    </w:p>
    <w:p>
      <w:pPr>
        <w:spacing w:before="0" w:after="80" w:line="276" w:lineRule="auto"/>
      </w:pPr>
      <w:r>
        <w:rPr>
          <w:rFonts w:ascii="Calibri" w:hAnsi="Calibri" w:eastAsia="Calibri"/>
          <w:b w:val="0"/>
          <w:i w:val="0"/>
          <w:color w:val="5B6776"/>
          <w:sz w:val="19"/>
        </w:rPr>
        <w:t>Copy the decision and its date from the ToR. If the ToR names none, write the decision as you understand it and ask the client to confirm it in writing. Every later question about whether the work is complete is answered against this paragraph.</w:t>
      </w:r>
    </w:p>
    <w:p>
      <w:pPr>
        <w:pBdr>
          <w:bottom w:val="single" w:sz="4" w:space="1" w:color="C9D2DD"/>
        </w:pBdr>
        <w:spacing w:before="0" w:after="160" w:line="276" w:lineRule="auto"/>
      </w:pPr>
    </w:p>
    <w:p>
      <w:pPr>
        <w:pBdr>
          <w:bottom w:val="single" w:sz="4" w:space="1" w:color="C9D2DD"/>
        </w:pBdr>
        <w:spacing w:before="0" w:after="160" w:line="276" w:lineRule="auto"/>
      </w:pPr>
    </w:p>
    <w:p>
      <w:pPr>
        <w:pBdr>
          <w:bottom w:val="single" w:sz="4" w:space="1" w:color="C9D2DD"/>
        </w:pBdr>
        <w:spacing w:before="0" w:after="160" w:line="276" w:lineRule="auto"/>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26"/>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Names the decision, the person who makes it and the date.</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26"/>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Copying 'to assess the programme' from the ToR. Nobody can say when that task is finished.</w:t>
            </w:r>
          </w:p>
        </w:tc>
      </w:tr>
    </w:tbl>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