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Theory of Change Canvas</w:t>
      </w:r>
    </w:p>
    <w:p>
      <w:pPr>
        <w:pStyle w:val="Heading1"/>
      </w:pPr>
      <w:r>
        <w:t>Problem &amp; context</w:t>
      </w:r>
    </w:p>
    <w:p>
      <w:r>
        <w:rPr>
          <w:i/>
          <w:color w:val="64748B"/>
          <w:sz w:val="19"/>
        </w:rPr>
        <w:t>➤ what and for whom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Outputs → Outcomes</w:t>
      </w:r>
    </w:p>
    <w:p>
      <w:r>
        <w:rPr>
          <w:i/>
          <w:color w:val="64748B"/>
          <w:sz w:val="19"/>
        </w:rPr>
        <w:t>➤ deliver vs change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Impact</w:t>
      </w:r>
    </w:p>
    <w:p>
      <w:r>
        <w:rPr>
          <w:i/>
          <w:color w:val="64748B"/>
          <w:sz w:val="19"/>
        </w:rPr>
        <w:t>➤ the lasting contribution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Assumptions</w:t>
      </w:r>
    </w:p>
    <w:p>
      <w:r>
        <w:rPr>
          <w:i/>
          <w:color w:val="64748B"/>
          <w:sz w:val="19"/>
        </w:rPr>
        <w:t>➤ what each arrow depends on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