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impactmojo.in/products/tor-clarification-letter/</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ToR Clarification Letter Builder</w:t>
            </w:r>
          </w:p>
          <w:p>
            <w:pPr>
              <w:spacing w:before="0" w:after="80" w:line="276" w:lineRule="auto"/>
            </w:pPr>
            <w:r>
              <w:rPr>
                <w:rFonts w:ascii="Calibri" w:hAnsi="Calibri" w:eastAsia="Calibri"/>
                <w:b w:val="0"/>
                <w:i w:val="0"/>
                <w:color w:val="0DBEB6"/>
                <w:sz w:val="22"/>
              </w:rPr>
              <w:t>Turn the gaps you found in a terms of reference into one clear letter the client can answer before the deadline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one well-built clarification letter beats ten emails, and what to ask and what to decide yourself.</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letter itself: a header, an opening, numbered questions grouped by section of the ToR, and a closing. Each question has the reason you are asking and the form of answer you need.</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a bank of thirty question stems by theme, a clarification log, questions never to send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nine questions on a maternal and newborn health ToR, the same case used across the ImpactMojo kit.</w:t>
            </w:r>
          </w:p>
        </w:tc>
      </w:tr>
    </w:tbl>
    <w:p>
      <w:pPr>
        <w:spacing w:after="40"/>
      </w:pPr>
    </w:p>
    <w:p>
      <w:pPr>
        <w:spacing w:before="0" w:after="80" w:line="276" w:lineRule="auto"/>
      </w:pPr>
      <w:r>
        <w:rPr>
          <w:rFonts w:ascii="Calibri" w:hAnsi="Calibri" w:eastAsia="Calibri"/>
          <w:b w:val="0"/>
          <w:i w:val="0"/>
          <w:color w:val="5B6776"/>
          <w:sz w:val="19"/>
        </w:rPr>
        <w:t>Replace every [bracketed prompt]. Keep the grey guidance while drafting and delete it before you send the letter. The letter is short on purpose: a client answers six sharp questions and ignores thirty vague ones. Pair it with the Bid or No-Bid Scorecard, whose low scores become the questions here.</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a clarification letter is worth the afternoon</w:t>
      </w:r>
    </w:p>
    <w:p>
      <w:pPr>
        <w:spacing w:before="0" w:after="100" w:line="276" w:lineRule="auto"/>
      </w:pPr>
      <w:r>
        <w:rPr>
          <w:rFonts w:ascii="Calibri" w:hAnsi="Calibri" w:eastAsia="Calibri"/>
          <w:b w:val="0"/>
          <w:i w:val="0"/>
          <w:color w:val="0F172A"/>
          <w:sz w:val="21"/>
        </w:rPr>
        <w:t>A terms of reference is written once, usually by someone who has already decided what they want. The deadline for questions is the only moment when the client expects to be asked, and the answer may be shared with every bidder. After the deadline, a question reads as a complaint or a negotiation.</w:t>
      </w:r>
    </w:p>
    <w:p>
      <w:pPr>
        <w:spacing w:before="0" w:after="100" w:line="276" w:lineRule="auto"/>
      </w:pPr>
      <w:r>
        <w:rPr>
          <w:rFonts w:ascii="Calibri" w:hAnsi="Calibri" w:eastAsia="Calibri"/>
          <w:b w:val="0"/>
          <w:i w:val="0"/>
          <w:color w:val="0F172A"/>
          <w:sz w:val="21"/>
        </w:rPr>
        <w:t>A good clarification letter does three jobs. It removes the doubts that would make your proposal a guess. It shows the client that you read the ToR closely. And it gives you a written record, so that when the client's answer changes the price or the method, you can point to it.</w:t>
      </w:r>
    </w:p>
    <w:p>
      <w:pPr>
        <w:spacing w:before="0" w:after="100" w:line="276" w:lineRule="auto"/>
      </w:pPr>
      <w:r>
        <w:rPr>
          <w:rFonts w:ascii="Calibri" w:hAnsi="Calibri" w:eastAsia="Calibri"/>
          <w:b w:val="0"/>
          <w:i w:val="0"/>
          <w:color w:val="0F172A"/>
          <w:sz w:val="21"/>
        </w:rPr>
        <w:t>Four habits make a letter work:</w:t>
      </w:r>
    </w:p>
    <w:p>
      <w:pPr>
        <w:pStyle w:val="ListBullet"/>
        <w:spacing w:before="0" w:after="40" w:line="276" w:lineRule="auto"/>
      </w:pPr>
      <w:r>
        <w:rPr>
          <w:rFonts w:ascii="Calibri" w:hAnsi="Calibri" w:eastAsia="Calibri"/>
          <w:b w:val="0"/>
          <w:i w:val="0"/>
          <w:color w:val="0F172A"/>
          <w:sz w:val="21"/>
        </w:rPr>
        <w:t>Send one consolidated letter, never a trickle of emails.</w:t>
      </w:r>
    </w:p>
    <w:p>
      <w:pPr>
        <w:pStyle w:val="ListBullet"/>
        <w:spacing w:before="0" w:after="40" w:line="276" w:lineRule="auto"/>
      </w:pPr>
      <w:r>
        <w:rPr>
          <w:rFonts w:ascii="Calibri" w:hAnsi="Calibri" w:eastAsia="Calibri"/>
          <w:b w:val="0"/>
          <w:i w:val="0"/>
          <w:color w:val="0F172A"/>
          <w:sz w:val="21"/>
        </w:rPr>
        <w:t>Ask only what changes your proposal. If the answer would not alter the method, team or price, do not ask.</w:t>
      </w:r>
    </w:p>
    <w:p>
      <w:pPr>
        <w:pStyle w:val="ListBullet"/>
        <w:spacing w:before="0" w:after="40" w:line="276" w:lineRule="auto"/>
      </w:pPr>
      <w:r>
        <w:rPr>
          <w:rFonts w:ascii="Calibri" w:hAnsi="Calibri" w:eastAsia="Calibri"/>
          <w:b w:val="0"/>
          <w:i w:val="0"/>
          <w:color w:val="0F172A"/>
          <w:sz w:val="21"/>
        </w:rPr>
        <w:t>Write each question so that a short answer settles it: a number, a date, a yes or a name.</w:t>
      </w:r>
    </w:p>
    <w:p>
      <w:pPr>
        <w:pStyle w:val="ListBullet"/>
        <w:spacing w:before="0" w:after="40" w:line="276" w:lineRule="auto"/>
      </w:pPr>
      <w:r>
        <w:rPr>
          <w:rFonts w:ascii="Calibri" w:hAnsi="Calibri" w:eastAsia="Calibri"/>
          <w:b w:val="0"/>
          <w:i w:val="0"/>
          <w:color w:val="0F172A"/>
          <w:sz w:val="21"/>
        </w:rPr>
        <w:t>Decide your own assumption before you ask, and state it, so the client can correct you with a single word.</w:t>
      </w:r>
    </w:p>
    <w:p>
      <w:pPr>
        <w:keepNext/>
        <w:spacing w:before="200" w:after="40" w:line="276" w:lineRule="auto"/>
      </w:pPr>
      <w:r>
        <w:rPr>
          <w:rFonts w:ascii="Calibri" w:hAnsi="Calibri" w:eastAsia="Calibri"/>
          <w:b/>
          <w:i w:val="0"/>
          <w:color w:val="152A49"/>
          <w:sz w:val="23"/>
        </w:rPr>
        <w:t>What to ask and what to decide yourself</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4478"/>
        <w:gridCol w:w="4535"/>
      </w:tblGrid>
      <w:tr>
        <w:trPr>
          <w:tblHeader w:val="true"/>
        </w:trPr>
        <w:tc>
          <w:tcPr>
            <w:tcW w:type="dxa" w:w="4479"/>
            <w:shd w:val="clear" w:color="auto" w:fill="152A49"/>
            <w:tcMar>
              <w:top w:w="70" w:type="dxa"/>
              <w:left w:w="100" w:type="dxa"/>
              <w:bottom w:w="70" w:type="dxa"/>
              <w:right w:w="100" w:type="dxa"/>
            </w:tcMar>
          </w:tcPr>
          <w:p>
            <w:r>
              <w:rPr>
                <w:rFonts w:ascii="Calibri" w:hAnsi="Calibri" w:eastAsia="Calibri"/>
                <w:b/>
                <w:i w:val="0"/>
                <w:color w:val="FFFFFF"/>
                <w:sz w:val="19"/>
              </w:rPr>
              <w:t>Ask the client</w:t>
            </w:r>
          </w:p>
        </w:tc>
        <w:tc>
          <w:tcPr>
            <w:tcW w:type="dxa" w:w="4535"/>
            <w:shd w:val="clear" w:color="auto" w:fill="152A49"/>
            <w:tcMar>
              <w:top w:w="70" w:type="dxa"/>
              <w:left w:w="100" w:type="dxa"/>
              <w:bottom w:w="70" w:type="dxa"/>
              <w:right w:w="100" w:type="dxa"/>
            </w:tcMar>
          </w:tcPr>
          <w:p>
            <w:r>
              <w:rPr>
                <w:rFonts w:ascii="Calibri" w:hAnsi="Calibri" w:eastAsia="Calibri"/>
                <w:b/>
                <w:i w:val="0"/>
                <w:color w:val="FFFFFF"/>
                <w:sz w:val="19"/>
              </w:rPr>
              <w:t>Decide yourself</w:t>
            </w:r>
          </w:p>
        </w:tc>
      </w:tr>
      <w:tr>
        <w:tc>
          <w:tcPr>
            <w:tcW w:type="dxa" w:w="4479"/>
            <w:shd w:val="clear" w:color="auto" w:fill="FFFFFF"/>
            <w:tcMar>
              <w:top w:w="60" w:type="dxa"/>
              <w:left w:w="100" w:type="dxa"/>
              <w:bottom w:w="60" w:type="dxa"/>
              <w:right w:w="100" w:type="dxa"/>
            </w:tcMar>
          </w:tcPr>
          <w:p>
            <w:r>
              <w:rPr>
                <w:rFonts w:ascii="Calibri" w:hAnsi="Calibri" w:eastAsia="Calibri"/>
                <w:b w:val="0"/>
                <w:i w:val="0"/>
                <w:color w:val="0F172A"/>
                <w:sz w:val="18"/>
              </w:rPr>
              <w:t>The decision the evidence will inform, who makes it and by when</w:t>
            </w:r>
          </w:p>
        </w:tc>
        <w:tc>
          <w:tcPr>
            <w:tcW w:type="dxa" w:w="4535"/>
            <w:shd w:val="clear" w:color="auto" w:fill="FFFFFF"/>
            <w:tcMar>
              <w:top w:w="60" w:type="dxa"/>
              <w:left w:w="100" w:type="dxa"/>
              <w:bottom w:w="60" w:type="dxa"/>
              <w:right w:w="100" w:type="dxa"/>
            </w:tcMar>
          </w:tcPr>
          <w:p>
            <w:r>
              <w:rPr>
                <w:rFonts w:ascii="Calibri" w:hAnsi="Calibri" w:eastAsia="Calibri"/>
                <w:b w:val="0"/>
                <w:i w:val="0"/>
                <w:color w:val="0F172A"/>
                <w:sz w:val="18"/>
              </w:rPr>
              <w:t>The sampling design and sample size, once the budget is known</w:t>
            </w:r>
          </w:p>
        </w:tc>
      </w:tr>
      <w:tr>
        <w:tc>
          <w:tcPr>
            <w:tcW w:type="dxa" w:w="4479"/>
            <w:shd w:val="clear" w:color="auto" w:fill="F2F6F8"/>
            <w:tcMar>
              <w:top w:w="60" w:type="dxa"/>
              <w:left w:w="100" w:type="dxa"/>
              <w:bottom w:w="60" w:type="dxa"/>
              <w:right w:w="100" w:type="dxa"/>
            </w:tcMar>
          </w:tcPr>
          <w:p>
            <w:r>
              <w:rPr>
                <w:rFonts w:ascii="Calibri" w:hAnsi="Calibri" w:eastAsia="Calibri"/>
                <w:b w:val="0"/>
                <w:i w:val="0"/>
                <w:color w:val="0F172A"/>
                <w:sz w:val="18"/>
              </w:rPr>
              <w:t>The budget envelope, what it includes and the payment terms</w:t>
            </w:r>
          </w:p>
        </w:tc>
        <w:tc>
          <w:tcPr>
            <w:tcW w:type="dxa" w:w="4535"/>
            <w:shd w:val="clear" w:color="auto" w:fill="F2F6F8"/>
            <w:tcMar>
              <w:top w:w="60" w:type="dxa"/>
              <w:left w:w="100" w:type="dxa"/>
              <w:bottom w:w="60" w:type="dxa"/>
              <w:right w:w="100" w:type="dxa"/>
            </w:tcMar>
          </w:tcPr>
          <w:p>
            <w:r>
              <w:rPr>
                <w:rFonts w:ascii="Calibri" w:hAnsi="Calibri" w:eastAsia="Calibri"/>
                <w:b w:val="0"/>
                <w:i w:val="0"/>
                <w:color w:val="0F172A"/>
                <w:sz w:val="18"/>
              </w:rPr>
              <w:t>Your team composition and day rates</w:t>
            </w:r>
          </w:p>
        </w:tc>
      </w:tr>
      <w:tr>
        <w:tc>
          <w:tcPr>
            <w:tcW w:type="dxa" w:w="4479"/>
            <w:shd w:val="clear" w:color="auto" w:fill="FFFFFF"/>
            <w:tcMar>
              <w:top w:w="60" w:type="dxa"/>
              <w:left w:w="100" w:type="dxa"/>
              <w:bottom w:w="60" w:type="dxa"/>
              <w:right w:w="100" w:type="dxa"/>
            </w:tcMar>
          </w:tcPr>
          <w:p>
            <w:r>
              <w:rPr>
                <w:rFonts w:ascii="Calibri" w:hAnsi="Calibri" w:eastAsia="Calibri"/>
                <w:b w:val="0"/>
                <w:i w:val="0"/>
                <w:color w:val="0F172A"/>
                <w:sz w:val="18"/>
              </w:rPr>
              <w:t>Which documents and data the client will provide, and when</w:t>
            </w:r>
          </w:p>
        </w:tc>
        <w:tc>
          <w:tcPr>
            <w:tcW w:type="dxa" w:w="4535"/>
            <w:shd w:val="clear" w:color="auto" w:fill="FFFFFF"/>
            <w:tcMar>
              <w:top w:w="60" w:type="dxa"/>
              <w:left w:w="100" w:type="dxa"/>
              <w:bottom w:w="60" w:type="dxa"/>
              <w:right w:w="100" w:type="dxa"/>
            </w:tcMar>
          </w:tcPr>
          <w:p>
            <w:r>
              <w:rPr>
                <w:rFonts w:ascii="Calibri" w:hAnsi="Calibri" w:eastAsia="Calibri"/>
                <w:b w:val="0"/>
                <w:i w:val="0"/>
                <w:color w:val="0F172A"/>
                <w:sz w:val="18"/>
              </w:rPr>
              <w:t>The data collection tools and how you will test them</w:t>
            </w:r>
          </w:p>
        </w:tc>
      </w:tr>
      <w:tr>
        <w:tc>
          <w:tcPr>
            <w:tcW w:type="dxa" w:w="4479"/>
            <w:shd w:val="clear" w:color="auto" w:fill="F2F6F8"/>
            <w:tcMar>
              <w:top w:w="60" w:type="dxa"/>
              <w:left w:w="100" w:type="dxa"/>
              <w:bottom w:w="60" w:type="dxa"/>
              <w:right w:w="100" w:type="dxa"/>
            </w:tcMar>
          </w:tcPr>
          <w:p>
            <w:r>
              <w:rPr>
                <w:rFonts w:ascii="Calibri" w:hAnsi="Calibri" w:eastAsia="Calibri"/>
                <w:b w:val="0"/>
                <w:i w:val="0"/>
                <w:color w:val="0F172A"/>
                <w:sz w:val="18"/>
              </w:rPr>
              <w:t>Whether attribution is expected, or contribution is enough</w:t>
            </w:r>
          </w:p>
        </w:tc>
        <w:tc>
          <w:tcPr>
            <w:tcW w:type="dxa" w:w="4535"/>
            <w:shd w:val="clear" w:color="auto" w:fill="F2F6F8"/>
            <w:tcMar>
              <w:top w:w="60" w:type="dxa"/>
              <w:left w:w="100" w:type="dxa"/>
              <w:bottom w:w="60" w:type="dxa"/>
              <w:right w:w="100" w:type="dxa"/>
            </w:tcMar>
          </w:tcPr>
          <w:p>
            <w:r>
              <w:rPr>
                <w:rFonts w:ascii="Calibri" w:hAnsi="Calibri" w:eastAsia="Calibri"/>
                <w:b w:val="0"/>
                <w:i w:val="0"/>
                <w:color w:val="0F172A"/>
                <w:sz w:val="18"/>
              </w:rPr>
              <w:t>How you will present limitations</w:t>
            </w:r>
          </w:p>
        </w:tc>
      </w:tr>
      <w:tr>
        <w:tc>
          <w:tcPr>
            <w:tcW w:type="dxa" w:w="4479"/>
            <w:shd w:val="clear" w:color="auto" w:fill="FFFFFF"/>
            <w:tcMar>
              <w:top w:w="60" w:type="dxa"/>
              <w:left w:w="100" w:type="dxa"/>
              <w:bottom w:w="60" w:type="dxa"/>
              <w:right w:w="100" w:type="dxa"/>
            </w:tcMar>
          </w:tcPr>
          <w:p>
            <w:r>
              <w:rPr>
                <w:rFonts w:ascii="Calibri" w:hAnsi="Calibri" w:eastAsia="Calibri"/>
                <w:b w:val="0"/>
                <w:i w:val="0"/>
                <w:color w:val="0F172A"/>
                <w:sz w:val="18"/>
              </w:rPr>
              <w:t>The review process: who comments, how many rounds, how long</w:t>
            </w:r>
          </w:p>
        </w:tc>
        <w:tc>
          <w:tcPr>
            <w:tcW w:type="dxa" w:w="4535"/>
            <w:shd w:val="clear" w:color="auto" w:fill="FFFFFF"/>
            <w:tcMar>
              <w:top w:w="60" w:type="dxa"/>
              <w:left w:w="100" w:type="dxa"/>
              <w:bottom w:w="60" w:type="dxa"/>
              <w:right w:w="100" w:type="dxa"/>
            </w:tcMar>
          </w:tcPr>
          <w:p>
            <w:r>
              <w:rPr>
                <w:rFonts w:ascii="Calibri" w:hAnsi="Calibri" w:eastAsia="Calibri"/>
                <w:b w:val="0"/>
                <w:i w:val="0"/>
                <w:color w:val="0F172A"/>
                <w:sz w:val="18"/>
              </w:rPr>
              <w:t>The structure of the proposal</w:t>
            </w:r>
          </w:p>
        </w:tc>
      </w:tr>
    </w:tbl>
    <w:p>
      <w:pPr>
        <w:spacing w:after="40"/>
      </w:pP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letter</w:t>
      </w:r>
    </w:p>
    <w:p>
      <w:pPr>
        <w:keepNext/>
        <w:spacing w:before="200" w:after="40" w:line="276" w:lineRule="auto"/>
      </w:pPr>
      <w:r>
        <w:rPr>
          <w:rFonts w:ascii="Calibri" w:hAnsi="Calibri" w:eastAsia="Calibri"/>
          <w:b/>
          <w:i w:val="0"/>
          <w:color w:val="152A49"/>
          <w:sz w:val="23"/>
        </w:rPr>
        <w:t>1.  Header and reference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Make the letter easy to file, quote and answer.</w:t>
      </w:r>
    </w:p>
    <w:p>
      <w:pPr>
        <w:spacing w:before="0" w:after="80" w:line="276" w:lineRule="auto"/>
      </w:pPr>
      <w:r>
        <w:rPr>
          <w:rFonts w:ascii="Calibri" w:hAnsi="Calibri" w:eastAsia="Calibri"/>
          <w:b w:val="0"/>
          <w:i w:val="0"/>
          <w:color w:val="5B6776"/>
          <w:sz w:val="19"/>
        </w:rPr>
        <w:t>Use the ToR's own reference number and title. Quote the clarification deadline from the ToR, and send the letter at least three working days before it. If the ToR says where questions go, such as a portal or a named address, use that channel only.</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3514"/>
        <w:gridCol w:w="5499"/>
      </w:tblGrid>
      <w:tr>
        <w:trPr>
          <w:tblHeader w:val="true"/>
        </w:trPr>
        <w:tc>
          <w:tcPr>
            <w:tcW w:type="dxa" w:w="3515"/>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5499"/>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To (name, role, organisation)</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From (name, role, organisation)</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ToR title and reference number</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Date sent</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FFFFF"/>
            <w:tcMar>
              <w:top w:w="60" w:type="dxa"/>
              <w:left w:w="100" w:type="dxa"/>
              <w:bottom w:w="60" w:type="dxa"/>
              <w:right w:w="100" w:type="dxa"/>
            </w:tcMar>
          </w:tcPr>
          <w:p>
            <w:r>
              <w:rPr>
                <w:rFonts w:ascii="Calibri" w:hAnsi="Calibri" w:eastAsia="Calibri"/>
                <w:b w:val="0"/>
                <w:i w:val="0"/>
                <w:color w:val="0F172A"/>
                <w:sz w:val="18"/>
              </w:rPr>
              <w:t>Clarification deadline stated in the ToR</w:t>
            </w:r>
          </w:p>
        </w:tc>
        <w:tc>
          <w:tcPr>
            <w:tcW w:type="dxa" w:w="549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515"/>
            <w:shd w:val="clear" w:color="auto" w:fill="F2F6F8"/>
            <w:tcMar>
              <w:top w:w="60" w:type="dxa"/>
              <w:left w:w="100" w:type="dxa"/>
              <w:bottom w:w="60" w:type="dxa"/>
              <w:right w:w="100" w:type="dxa"/>
            </w:tcMar>
          </w:tcPr>
          <w:p>
            <w:r>
              <w:rPr>
                <w:rFonts w:ascii="Calibri" w:hAnsi="Calibri" w:eastAsia="Calibri"/>
                <w:b w:val="0"/>
                <w:i w:val="0"/>
                <w:color w:val="0F172A"/>
                <w:sz w:val="18"/>
              </w:rPr>
              <w:t>Number of questions</w:t>
            </w:r>
          </w:p>
        </w:tc>
        <w:tc>
          <w:tcPr>
            <w:tcW w:type="dxa" w:w="549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client can see in five seconds which ToR the letter is about, how many questions it holds and by when you need answers.</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Sending the letter to a general inbox with a subject line such as 'Query', so it is read after the deadline or never.</w:t>
            </w:r>
          </w:p>
        </w:tc>
      </w:tr>
    </w:tbl>
    <w:p>
      <w:pPr>
        <w:spacing w:after="40"/>
      </w:pPr>
    </w:p>
    <w:p>
      <w:pPr>
        <w:keepNext/>
        <w:spacing w:before="200" w:after="40" w:line="276" w:lineRule="auto"/>
      </w:pPr>
      <w:r>
        <w:rPr>
          <w:rFonts w:ascii="Calibri" w:hAnsi="Calibri" w:eastAsia="Calibri"/>
          <w:b/>
          <w:i w:val="0"/>
          <w:color w:val="152A49"/>
          <w:sz w:val="23"/>
        </w:rPr>
        <w:t>2.  Opening paragraph</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Say who you are, that you intend to bid and that the questions will help you answer the brief well.</w:t>
      </w:r>
    </w:p>
    <w:p>
      <w:pPr>
        <w:spacing w:before="0" w:after="80" w:line="276" w:lineRule="auto"/>
      </w:pPr>
      <w:r>
        <w:rPr>
          <w:rFonts w:ascii="Calibri" w:hAnsi="Calibri" w:eastAsia="Calibri"/>
          <w:b w:val="0"/>
          <w:i w:val="0"/>
          <w:color w:val="5B6776"/>
          <w:sz w:val="19"/>
        </w:rPr>
        <w:t>Three sentences are enough. Do not summarise the ToR back to the client and do not use the opening to sell your firm. The proposal does that.</w:t>
      </w:r>
    </w:p>
    <w:p>
      <w:pPr>
        <w:spacing w:before="0" w:after="100" w:line="276" w:lineRule="auto"/>
      </w:pPr>
      <w:r>
        <w:rPr>
          <w:rFonts w:ascii="Calibri" w:hAnsi="Calibri" w:eastAsia="Calibri"/>
          <w:b w:val="0"/>
          <w:i w:val="0"/>
          <w:color w:val="0F172A"/>
          <w:sz w:val="21"/>
        </w:rPr>
        <w:t>Dear [name], we are preparing a proposal for [assignment title]. The questions below will help us propose a design that fits your decision and your budget. We would be grateful for written answers by [date], and we are glad to receive them in the form you use for other bidders.</w:t>
      </w: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Short, courteous, and clear about the date you need answers.</w:t>
            </w:r>
          </w:p>
        </w:tc>
      </w:tr>
    </w:tbl>
    <w:p>
      <w:pPr>
        <w:spacing w:after="40"/>
      </w:pP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