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2318"/>
          <w:sz w:val="18"/>
        </w:rPr>
        <w:t>SAMPLE: preview only. This is the opening of the full pack, from impactmojo.in/products/validation-workshop-plan-template/</w:t>
      </w:r>
    </w:p>
    <w:tbl>
      <w:tblPr>
        <w:tblW w:type="auto" w:w="0"/>
        <w:jc w:val="left"/>
        <w:tblLayout w:type="fixed"/>
        <w:tblLook w:firstColumn="1" w:firstRow="1" w:lastColumn="0" w:lastRow="0" w:noHBand="0" w:noVBand="1" w:val="04A0"/>
        <w:tblLayout w:type="fixed"/>
        <w:tblBorders>
          <w:top w:val="nil" w:space="0"/>
          <w:left w:val="nil" w:space="0"/>
          <w:bottom w:val="nil" w:space="0"/>
          <w:right w:val="nil" w:space="0"/>
          <w:insideH w:val="nil" w:space="0"/>
          <w:insideV w:val="nil" w:space="0"/>
        </w:tblBorders>
      </w:tblPr>
      <w:tblGrid>
        <w:gridCol w:w="9014"/>
      </w:tblGrid>
      <w:tr>
        <w:tc>
          <w:tcPr>
            <w:tcW w:type="dxa" w:w="9014"/>
            <w:shd w:val="clear" w:color="auto" w:fill="152A49"/>
            <w:tcMar>
              <w:top w:w="260" w:type="dxa"/>
              <w:left w:w="320" w:type="dxa"/>
              <w:bottom w:w="260" w:type="dxa"/>
              <w:right w:w="320" w:type="dxa"/>
            </w:tcMar>
          </w:tcPr>
          <w:p>
            <w:pPr>
              <w:spacing w:before="0" w:after="120" w:line="276" w:lineRule="auto"/>
            </w:pPr>
            <w:r>
              <w:rPr>
                <w:rFonts w:ascii="Calibri" w:hAnsi="Calibri" w:eastAsia="Calibri"/>
                <w:b w:val="0"/>
                <w:i w:val="0"/>
                <w:color w:val="AEBDCC"/>
                <w:sz w:val="17"/>
              </w:rPr>
              <w:t>ImpactMojo  ·  Evaluator's Desk</w:t>
            </w:r>
          </w:p>
          <w:p>
            <w:pPr>
              <w:spacing w:before="0" w:after="80" w:line="276" w:lineRule="auto"/>
            </w:pPr>
            <w:r>
              <w:rPr>
                <w:rFonts w:ascii="Calibri" w:hAnsi="Calibri" w:eastAsia="Calibri"/>
                <w:b/>
                <w:i w:val="0"/>
                <w:color w:val="FFFFFF"/>
                <w:sz w:val="40"/>
              </w:rPr>
              <w:t>Validation Workshop Plan</w:t>
            </w:r>
          </w:p>
          <w:p>
            <w:pPr>
              <w:spacing w:before="0" w:after="80" w:line="276" w:lineRule="auto"/>
            </w:pPr>
            <w:r>
              <w:rPr>
                <w:rFonts w:ascii="Calibri" w:hAnsi="Calibri" w:eastAsia="Calibri"/>
                <w:b w:val="0"/>
                <w:i w:val="0"/>
                <w:color w:val="0DBEB6"/>
                <w:sz w:val="22"/>
              </w:rPr>
              <w:t>Test draft findings with the people who know the programme, in a half-day session that gets corrections and keeps your independence</w:t>
            </w:r>
          </w:p>
          <w:p>
            <w:pPr>
              <w:spacing w:before="0" w:after="0" w:line="276" w:lineRule="auto"/>
            </w:pPr>
            <w:r>
              <w:rPr>
                <w:rFonts w:ascii="Calibri" w:hAnsi="Calibri" w:eastAsia="Calibri"/>
                <w:b w:val="0"/>
                <w:i w:val="0"/>
                <w:color w:val="AEBDCC"/>
                <w:sz w:val="17"/>
              </w:rPr>
              <w:t>Template · DOCX · ₹199</w:t>
            </w:r>
          </w:p>
        </w:tc>
      </w:tr>
    </w:tbl>
    <w:p>
      <w:pPr>
        <w:spacing w:before="120" w:after="120" w:line="276" w:lineRule="auto"/>
      </w:pPr>
      <w:r>
        <w:rPr>
          <w:rFonts w:ascii="Calibri" w:hAnsi="Calibri" w:eastAsia="Calibri"/>
          <w:b w:val="0"/>
          <w:i w:val="0"/>
          <w:color w:val="5B6776"/>
          <w:sz w:val="18"/>
        </w:rPr>
        <w:t>Version 1.0   ·   October 2026   ·   Part of the Evaluation Essentials Kit</w:t>
      </w:r>
    </w:p>
    <w:tbl>
      <w:tblPr>
        <w:tblW w:type="auto" w:w="0"/>
        <w:jc w:val="left"/>
        <w:tblLayout w:type="fixed"/>
        <w:tblLook w:firstColumn="1" w:firstRow="1" w:lastColumn="0" w:lastRow="0" w:noHBand="0" w:noVBand="1" w:val="04A0"/>
        <w:tblLayout w:type="fixed"/>
        <w:tblBorders>
          <w:top w:val="single" w:sz="4" w:color="0C8A89" w:space="0"/>
          <w:left w:val="single" w:sz="24" w:color="0C8A89" w:space="0"/>
          <w:bottom w:val="single" w:sz="4" w:color="0C8A89" w:space="0"/>
          <w:right w:val="single" w:sz="4" w:color="0C8A89" w:space="0"/>
          <w:insideH w:val="single" w:sz="4" w:color="0C8A89" w:space="0"/>
          <w:insideV w:val="single" w:sz="4" w:color="0C8A89" w:space="0"/>
        </w:tblBorders>
      </w:tblPr>
      <w:tblGrid>
        <w:gridCol w:w="9014"/>
      </w:tblGrid>
      <w:tr>
        <w:tc>
          <w:tcPr>
            <w:tcW w:type="dxa" w:w="9014"/>
            <w:shd w:val="clear" w:color="auto" w:fill="EAF6F5"/>
            <w:tcMar>
              <w:top w:w="100" w:type="dxa"/>
              <w:left w:w="160" w:type="dxa"/>
              <w:bottom w:w="100" w:type="dxa"/>
              <w:right w:w="160" w:type="dxa"/>
            </w:tcMar>
          </w:tcPr>
          <w:p>
            <w:pPr>
              <w:spacing w:before="0" w:after="60" w:line="276" w:lineRule="auto"/>
            </w:pPr>
            <w:r>
              <w:rPr>
                <w:rFonts w:ascii="Calibri" w:hAnsi="Calibri" w:eastAsia="Calibri"/>
                <w:b/>
                <w:i w:val="0"/>
                <w:color w:val="0C8A89"/>
                <w:sz w:val="17"/>
              </w:rPr>
              <w:t>WHAT IS INSIDE THIS PACK</w:t>
            </w:r>
          </w:p>
          <w:p>
            <w:pPr>
              <w:spacing w:before="0" w:after="60" w:line="276" w:lineRule="auto"/>
            </w:pPr>
            <w:r>
              <w:rPr>
                <w:rFonts w:ascii="Calibri" w:hAnsi="Calibri" w:eastAsia="Calibri"/>
                <w:b/>
                <w:i w:val="0"/>
                <w:color w:val="0F172A"/>
                <w:sz w:val="19"/>
              </w:rPr>
              <w:t>Part A.</w:t>
            </w:r>
            <w:r>
              <w:rPr>
                <w:rFonts w:ascii="Calibri" w:hAnsi="Calibri" w:eastAsia="Calibri"/>
                <w:b w:val="0"/>
                <w:i w:val="0"/>
                <w:color w:val="0F172A"/>
                <w:sz w:val="19"/>
              </w:rPr>
              <w:t xml:space="preserve"> What a validation workshop is for, and what it is not for.</w:t>
            </w:r>
          </w:p>
          <w:p>
            <w:pPr>
              <w:spacing w:before="0" w:after="60" w:line="276" w:lineRule="auto"/>
            </w:pPr>
            <w:r>
              <w:rPr>
                <w:rFonts w:ascii="Calibri" w:hAnsi="Calibri" w:eastAsia="Calibri"/>
                <w:b/>
                <w:i w:val="0"/>
                <w:color w:val="0F172A"/>
                <w:sz w:val="19"/>
              </w:rPr>
              <w:t>Part B.</w:t>
            </w:r>
            <w:r>
              <w:rPr>
                <w:rFonts w:ascii="Calibri" w:hAnsi="Calibri" w:eastAsia="Calibri"/>
                <w:b w:val="0"/>
                <w:i w:val="0"/>
                <w:color w:val="0F172A"/>
                <w:sz w:val="19"/>
              </w:rPr>
              <w:t xml:space="preserve"> The plan in nine steps: purpose, participants, materials, agenda, ground rules, facilitation, capturing comments, closing and the record.</w:t>
            </w:r>
          </w:p>
          <w:p>
            <w:pPr>
              <w:spacing w:before="0" w:after="60" w:line="276" w:lineRule="auto"/>
            </w:pPr>
            <w:r>
              <w:rPr>
                <w:rFonts w:ascii="Calibri" w:hAnsi="Calibri" w:eastAsia="Calibri"/>
                <w:b/>
                <w:i w:val="0"/>
                <w:color w:val="0F172A"/>
                <w:sz w:val="19"/>
              </w:rPr>
              <w:t>Part C.</w:t>
            </w:r>
            <w:r>
              <w:rPr>
                <w:rFonts w:ascii="Calibri" w:hAnsi="Calibri" w:eastAsia="Calibri"/>
                <w:b w:val="0"/>
                <w:i w:val="0"/>
                <w:color w:val="0F172A"/>
                <w:sz w:val="19"/>
              </w:rPr>
              <w:t xml:space="preserve"> Reference assets: a half-day agenda with timings, a finding card, a comment capture sheet, facilitation scripts for hard moments, a checklist and a glossary.</w:t>
            </w:r>
          </w:p>
          <w:p>
            <w:pPr>
              <w:spacing w:before="0" w:after="60" w:line="276" w:lineRule="auto"/>
            </w:pPr>
            <w:r>
              <w:rPr>
                <w:rFonts w:ascii="Calibri" w:hAnsi="Calibri" w:eastAsia="Calibri"/>
                <w:b/>
                <w:i w:val="0"/>
                <w:color w:val="0F172A"/>
                <w:sz w:val="19"/>
              </w:rPr>
              <w:t>Part D.</w:t>
            </w:r>
            <w:r>
              <w:rPr>
                <w:rFonts w:ascii="Calibri" w:hAnsi="Calibri" w:eastAsia="Calibri"/>
                <w:b w:val="0"/>
                <w:i w:val="0"/>
                <w:color w:val="0F172A"/>
                <w:sz w:val="19"/>
              </w:rPr>
              <w:t xml:space="preserve"> A worked example for the maternal and newborn health evaluation.</w:t>
            </w:r>
          </w:p>
        </w:tc>
      </w:tr>
    </w:tbl>
    <w:p>
      <w:pPr>
        <w:spacing w:after="40"/>
      </w:pPr>
    </w:p>
    <w:p>
      <w:pPr>
        <w:spacing w:before="0" w:after="80" w:line="276" w:lineRule="auto"/>
      </w:pPr>
      <w:r>
        <w:rPr>
          <w:rFonts w:ascii="Calibri" w:hAnsi="Calibri" w:eastAsia="Calibri"/>
          <w:b w:val="0"/>
          <w:i w:val="0"/>
          <w:color w:val="5B6776"/>
          <w:sz w:val="19"/>
        </w:rPr>
        <w:t>Replace every [bracketed prompt]. A validation workshop is where the draft findings meet the people who run and use the programme. Plan it as carefully as fieldwork. The aim is correction of facts, richer interpretation and ownership of the findings, while the evaluator keeps the final say on what the findings are.</w:t>
      </w:r>
    </w:p>
    <w:p>
      <w:pPr>
        <w:keepNext/>
        <w:spacing w:before="280" w:after="0" w:line="276" w:lineRule="auto"/>
      </w:pPr>
      <w:r>
        <w:rPr>
          <w:rFonts w:ascii="Calibri" w:hAnsi="Calibri" w:eastAsia="Calibri"/>
          <w:b/>
          <w:i w:val="0"/>
          <w:color w:val="0C8A89"/>
          <w:sz w:val="18"/>
        </w:rPr>
        <w:t>PART A</w:t>
      </w:r>
    </w:p>
    <w:p>
      <w:pPr>
        <w:keepNext/>
        <w:spacing w:before="0" w:after="120" w:line="276" w:lineRule="auto"/>
      </w:pPr>
      <w:r>
        <w:rPr>
          <w:rFonts w:ascii="Calibri" w:hAnsi="Calibri" w:eastAsia="Calibri"/>
          <w:b/>
          <w:i w:val="0"/>
          <w:color w:val="152A49"/>
          <w:sz w:val="32"/>
        </w:rPr>
        <w:t>What the workshop is for</w:t>
      </w:r>
    </w:p>
    <w:p>
      <w:pPr>
        <w:spacing w:before="0" w:after="100" w:line="276" w:lineRule="auto"/>
      </w:pPr>
      <w:r>
        <w:rPr>
          <w:rFonts w:ascii="Calibri" w:hAnsi="Calibri" w:eastAsia="Calibri"/>
          <w:b w:val="0"/>
          <w:i w:val="0"/>
          <w:color w:val="0F172A"/>
          <w:sz w:val="21"/>
        </w:rPr>
        <w:t>A validation workshop tests draft findings with a group of programme staff, partners and sometimes participants. It has three uses. It catches factual mistakes while they are cheap to fix. It brings in explanations the data cannot give, such as why a block performed differently. And it builds ownership, so the people who must act on the report have seen the findings and had a chance to react before the final version.</w:t>
      </w:r>
    </w:p>
    <w:p>
      <w:pPr>
        <w:spacing w:before="0" w:after="100" w:line="276" w:lineRule="auto"/>
      </w:pPr>
      <w:r>
        <w:rPr>
          <w:rFonts w:ascii="Calibri" w:hAnsi="Calibri" w:eastAsia="Calibri"/>
          <w:b w:val="0"/>
          <w:i w:val="0"/>
          <w:color w:val="0F172A"/>
          <w:sz w:val="21"/>
        </w:rPr>
        <w:t>It is not a negotiation of the findings. The independence agreed in the charter holds in the room: participants may correct facts, offer evidence and challenge the reasoning, and the evaluator decides what changes. Say so at the start, kindly and plainly.</w:t>
      </w:r>
    </w:p>
    <w:p>
      <w:pPr>
        <w:spacing w:before="0" w:after="100" w:line="276" w:lineRule="auto"/>
      </w:pPr>
      <w:r>
        <w:rPr>
          <w:rFonts w:ascii="Calibri" w:hAnsi="Calibri" w:eastAsia="Calibri"/>
          <w:b w:val="0"/>
          <w:i w:val="0"/>
          <w:color w:val="0F172A"/>
          <w:sz w:val="21"/>
        </w:rPr>
        <w:t>Four choices shape the day:</w:t>
      </w:r>
    </w:p>
    <w:p>
      <w:pPr>
        <w:pStyle w:val="ListBullet"/>
        <w:spacing w:before="0" w:after="40" w:line="276" w:lineRule="auto"/>
      </w:pPr>
      <w:r>
        <w:rPr>
          <w:rFonts w:ascii="Calibri" w:hAnsi="Calibri" w:eastAsia="Calibri"/>
          <w:b w:val="0"/>
          <w:i w:val="0"/>
          <w:color w:val="0F172A"/>
          <w:sz w:val="21"/>
        </w:rPr>
        <w:t>Who is in the room. A mix of voices gives better corrections than a room of senior people.</w:t>
      </w:r>
    </w:p>
    <w:p>
      <w:pPr>
        <w:pStyle w:val="ListBullet"/>
        <w:spacing w:before="0" w:after="40" w:line="276" w:lineRule="auto"/>
      </w:pPr>
      <w:r>
        <w:rPr>
          <w:rFonts w:ascii="Calibri" w:hAnsi="Calibri" w:eastAsia="Calibri"/>
          <w:b w:val="0"/>
          <w:i w:val="0"/>
          <w:color w:val="0F172A"/>
          <w:sz w:val="21"/>
        </w:rPr>
        <w:t>How findings are shown. Findings on cards, one at a time, work better than a long presentation.</w:t>
      </w:r>
    </w:p>
    <w:p>
      <w:pPr>
        <w:pStyle w:val="ListBullet"/>
        <w:spacing w:before="0" w:after="40" w:line="276" w:lineRule="auto"/>
      </w:pPr>
      <w:r>
        <w:rPr>
          <w:rFonts w:ascii="Calibri" w:hAnsi="Calibri" w:eastAsia="Calibri"/>
          <w:b w:val="0"/>
          <w:i w:val="0"/>
          <w:color w:val="0F172A"/>
          <w:sz w:val="21"/>
        </w:rPr>
        <w:t>How comments are captured. Written comments on cards survive the afternoon. Remembered comments do not.</w:t>
      </w:r>
    </w:p>
    <w:p>
      <w:pPr>
        <w:pStyle w:val="ListBullet"/>
        <w:spacing w:before="0" w:after="40" w:line="276" w:lineRule="auto"/>
      </w:pPr>
      <w:r>
        <w:rPr>
          <w:rFonts w:ascii="Calibri" w:hAnsi="Calibri" w:eastAsia="Calibri"/>
          <w:b w:val="0"/>
          <w:i w:val="0"/>
          <w:color w:val="0F172A"/>
          <w:sz w:val="21"/>
        </w:rPr>
        <w:t>What happens afterwards. Participants should see what changed, and why a comment was not taken up.</w:t>
      </w:r>
    </w:p>
    <w:p>
      <w:pPr>
        <w:keepNext/>
        <w:spacing w:before="280" w:after="0" w:line="276" w:lineRule="auto"/>
      </w:pPr>
      <w:r>
        <w:rPr>
          <w:rFonts w:ascii="Calibri" w:hAnsi="Calibri" w:eastAsia="Calibri"/>
          <w:b/>
          <w:i w:val="0"/>
          <w:color w:val="0C8A89"/>
          <w:sz w:val="18"/>
        </w:rPr>
        <w:t>PART B</w:t>
      </w:r>
    </w:p>
    <w:p>
      <w:pPr>
        <w:keepNext/>
        <w:spacing w:before="0" w:after="120" w:line="276" w:lineRule="auto"/>
      </w:pPr>
      <w:r>
        <w:rPr>
          <w:rFonts w:ascii="Calibri" w:hAnsi="Calibri" w:eastAsia="Calibri"/>
          <w:b/>
          <w:i w:val="0"/>
          <w:color w:val="152A49"/>
          <w:sz w:val="32"/>
        </w:rPr>
        <w:t>The plan</w:t>
      </w:r>
    </w:p>
    <w:p>
      <w:pPr>
        <w:keepNext/>
        <w:spacing w:before="200" w:after="40" w:line="276" w:lineRule="auto"/>
      </w:pPr>
      <w:r>
        <w:rPr>
          <w:rFonts w:ascii="Calibri" w:hAnsi="Calibri" w:eastAsia="Calibri"/>
          <w:b/>
          <w:i w:val="0"/>
          <w:color w:val="152A49"/>
          <w:sz w:val="23"/>
        </w:rPr>
        <w:t>1.  Purpose and outcomes</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State why you are holding the workshop and what you will have at the end.</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2948"/>
        <w:gridCol w:w="6066"/>
      </w:tblGrid>
      <w:tr>
        <w:trPr>
          <w:tblHeader w:val="true"/>
        </w:trPr>
        <w:tc>
          <w:tcPr>
            <w:tcW w:type="dxa" w:w="2948"/>
            <w:shd w:val="clear" w:color="auto" w:fill="152A49"/>
            <w:tcMar>
              <w:top w:w="70" w:type="dxa"/>
              <w:left w:w="100" w:type="dxa"/>
              <w:bottom w:w="70" w:type="dxa"/>
              <w:right w:w="100" w:type="dxa"/>
            </w:tcMar>
          </w:tcPr>
          <w:p>
            <w:r>
              <w:rPr>
                <w:rFonts w:ascii="Calibri" w:hAnsi="Calibri" w:eastAsia="Calibri"/>
                <w:b/>
                <w:i w:val="0"/>
                <w:color w:val="FFFFFF"/>
                <w:sz w:val="19"/>
              </w:rPr>
              <w:t>Field</w:t>
            </w:r>
          </w:p>
        </w:tc>
        <w:tc>
          <w:tcPr>
            <w:tcW w:type="dxa" w:w="6066"/>
            <w:shd w:val="clear" w:color="auto" w:fill="152A49"/>
            <w:tcMar>
              <w:top w:w="70" w:type="dxa"/>
              <w:left w:w="100" w:type="dxa"/>
              <w:bottom w:w="70" w:type="dxa"/>
              <w:right w:w="100" w:type="dxa"/>
            </w:tcMar>
          </w:tcPr>
          <w:p>
            <w:r>
              <w:rPr>
                <w:rFonts w:ascii="Calibri" w:hAnsi="Calibri" w:eastAsia="Calibri"/>
                <w:b/>
                <w:i w:val="0"/>
                <w:color w:val="FFFFFF"/>
                <w:sz w:val="19"/>
              </w:rPr>
              <w:t>Entry</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Purpose (one sentence)</w:t>
            </w:r>
          </w:p>
        </w:tc>
        <w:tc>
          <w:tcPr>
            <w:tcW w:type="dxa" w:w="6066"/>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2948"/>
            <w:shd w:val="clear" w:color="auto" w:fill="F2F6F8"/>
            <w:tcMar>
              <w:top w:w="60" w:type="dxa"/>
              <w:left w:w="100" w:type="dxa"/>
              <w:bottom w:w="60" w:type="dxa"/>
              <w:right w:w="100" w:type="dxa"/>
            </w:tcMar>
          </w:tcPr>
          <w:p>
            <w:r>
              <w:rPr>
                <w:rFonts w:ascii="Calibri" w:hAnsi="Calibri" w:eastAsia="Calibri"/>
                <w:b w:val="0"/>
                <w:i w:val="0"/>
                <w:color w:val="0F172A"/>
                <w:sz w:val="18"/>
              </w:rPr>
              <w:t>Outcome 1</w:t>
            </w:r>
          </w:p>
        </w:tc>
        <w:tc>
          <w:tcPr>
            <w:tcW w:type="dxa" w:w="6066"/>
            <w:shd w:val="clear" w:color="auto" w:fill="F2F6F8"/>
            <w:tcMar>
              <w:top w:w="60" w:type="dxa"/>
              <w:left w:w="100" w:type="dxa"/>
              <w:bottom w:w="60" w:type="dxa"/>
              <w:right w:w="100" w:type="dxa"/>
            </w:tcMar>
          </w:tcPr>
          <w:p>
            <w:r>
              <w:rPr>
                <w:rFonts w:ascii="Calibri" w:hAnsi="Calibri" w:eastAsia="Calibri"/>
                <w:b w:val="0"/>
                <w:i w:val="0"/>
                <w:color w:val="0F172A"/>
                <w:sz w:val="18"/>
              </w:rPr>
              <w:t>[Factual corrections to the draft findings, recorded]</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Outcome 2</w:t>
            </w:r>
          </w:p>
        </w:tc>
        <w:tc>
          <w:tcPr>
            <w:tcW w:type="dxa" w:w="6066"/>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2948"/>
            <w:shd w:val="clear" w:color="auto" w:fill="F2F6F8"/>
            <w:tcMar>
              <w:top w:w="60" w:type="dxa"/>
              <w:left w:w="100" w:type="dxa"/>
              <w:bottom w:w="60" w:type="dxa"/>
              <w:right w:w="100" w:type="dxa"/>
            </w:tcMar>
          </w:tcPr>
          <w:p>
            <w:r>
              <w:rPr>
                <w:rFonts w:ascii="Calibri" w:hAnsi="Calibri" w:eastAsia="Calibri"/>
                <w:b w:val="0"/>
                <w:i w:val="0"/>
                <w:color w:val="0F172A"/>
                <w:sz w:val="18"/>
              </w:rPr>
              <w:t>Date, venue and duration</w:t>
            </w:r>
          </w:p>
        </w:tc>
        <w:tc>
          <w:tcPr>
            <w:tcW w:type="dxa" w:w="6066"/>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Facilitator and note-taker</w:t>
            </w:r>
          </w:p>
        </w:tc>
        <w:tc>
          <w:tcPr>
            <w:tcW w:type="dxa" w:w="6066"/>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Each outcome is something you can hold in your hand at the end.</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A purpose of 'to share findings'. Sharing is a presentation. Validation asks the room to test.</w:t>
            </w:r>
          </w:p>
        </w:tc>
      </w:tr>
    </w:tbl>
    <w:p>
      <w:pPr>
        <w:spacing w:after="40"/>
      </w:pPr>
    </w:p>
    <w:p>
      <w:pPr>
        <w:keepNext/>
        <w:spacing w:before="200" w:after="40" w:line="276" w:lineRule="auto"/>
      </w:pPr>
      <w:r>
        <w:rPr>
          <w:rFonts w:ascii="Calibri" w:hAnsi="Calibri" w:eastAsia="Calibri"/>
          <w:b/>
          <w:i w:val="0"/>
          <w:color w:val="152A49"/>
          <w:sz w:val="23"/>
        </w:rPr>
        <w:t>2.  Participants</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Choose a group that can correct the findings and will act on them.</w:t>
      </w:r>
    </w:p>
    <w:p>
      <w:pPr>
        <w:spacing w:before="0" w:after="80" w:line="276" w:lineRule="auto"/>
      </w:pPr>
      <w:r>
        <w:rPr>
          <w:rFonts w:ascii="Calibri" w:hAnsi="Calibri" w:eastAsia="Calibri"/>
          <w:b w:val="0"/>
          <w:i w:val="0"/>
          <w:color w:val="5B6776"/>
          <w:sz w:val="19"/>
        </w:rPr>
        <w:t>Aim for 12 to 25 people. Include programme managers and field staff, a few people from the commissioner, one or two from partner organisations and, where it is safe and fair, participants or their representatives. Check the power dynamics: a junior field worker will not contradict a director in front of colleagues, so use small groups.</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2948"/>
        <w:gridCol w:w="1417"/>
        <w:gridCol w:w="4648"/>
      </w:tblGrid>
      <w:tr>
        <w:trPr>
          <w:tblHeader w:val="true"/>
        </w:trPr>
        <w:tc>
          <w:tcPr>
            <w:tcW w:type="dxa" w:w="2948"/>
            <w:shd w:val="clear" w:color="auto" w:fill="152A49"/>
            <w:tcMar>
              <w:top w:w="70" w:type="dxa"/>
              <w:left w:w="100" w:type="dxa"/>
              <w:bottom w:w="70" w:type="dxa"/>
              <w:right w:w="100" w:type="dxa"/>
            </w:tcMar>
          </w:tcPr>
          <w:p>
            <w:r>
              <w:rPr>
                <w:rFonts w:ascii="Calibri" w:hAnsi="Calibri" w:eastAsia="Calibri"/>
                <w:b/>
                <w:i w:val="0"/>
                <w:color w:val="FFFFFF"/>
                <w:sz w:val="19"/>
              </w:rPr>
              <w:t>Group</w:t>
            </w:r>
          </w:p>
        </w:tc>
        <w:tc>
          <w:tcPr>
            <w:tcW w:type="dxa" w:w="1417"/>
            <w:shd w:val="clear" w:color="auto" w:fill="152A49"/>
            <w:tcMar>
              <w:top w:w="70" w:type="dxa"/>
              <w:left w:w="100" w:type="dxa"/>
              <w:bottom w:w="70" w:type="dxa"/>
              <w:right w:w="100" w:type="dxa"/>
            </w:tcMar>
          </w:tcPr>
          <w:p>
            <w:r>
              <w:rPr>
                <w:rFonts w:ascii="Calibri" w:hAnsi="Calibri" w:eastAsia="Calibri"/>
                <w:b/>
                <w:i w:val="0"/>
                <w:color w:val="FFFFFF"/>
                <w:sz w:val="19"/>
              </w:rPr>
              <w:t>Number</w:t>
            </w:r>
          </w:p>
        </w:tc>
        <w:tc>
          <w:tcPr>
            <w:tcW w:type="dxa" w:w="4649"/>
            <w:shd w:val="clear" w:color="auto" w:fill="152A49"/>
            <w:tcMar>
              <w:top w:w="70" w:type="dxa"/>
              <w:left w:w="100" w:type="dxa"/>
              <w:bottom w:w="70" w:type="dxa"/>
              <w:right w:w="100" w:type="dxa"/>
            </w:tcMar>
          </w:tcPr>
          <w:p>
            <w:r>
              <w:rPr>
                <w:rFonts w:ascii="Calibri" w:hAnsi="Calibri" w:eastAsia="Calibri"/>
                <w:b/>
                <w:i w:val="0"/>
                <w:color w:val="FFFFFF"/>
                <w:sz w:val="19"/>
              </w:rPr>
              <w:t>Why they are invited</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Commissioner</w:t>
            </w:r>
          </w:p>
        </w:tc>
        <w:tc>
          <w:tcPr>
            <w:tcW w:type="dxa" w:w="1417"/>
            <w:shd w:val="clear" w:color="auto" w:fill="FFFFFF"/>
            <w:tcMar>
              <w:top w:w="60" w:type="dxa"/>
              <w:left w:w="100" w:type="dxa"/>
              <w:bottom w:w="60" w:type="dxa"/>
              <w:right w:w="100" w:type="dxa"/>
            </w:tcMar>
          </w:tcPr>
          <w:p>
            <w:r>
              <w:rPr>
                <w:rFonts w:ascii="Calibri" w:hAnsi="Calibri" w:eastAsia="Calibri"/>
                <w:b w:val="0"/>
                <w:i w:val="0"/>
                <w:color w:val="0F172A"/>
                <w:sz w:val="18"/>
              </w:rPr>
              <w:t>[ ]</w:t>
            </w:r>
          </w:p>
        </w:tc>
        <w:tc>
          <w:tcPr>
            <w:tcW w:type="dxa" w:w="4649"/>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2948"/>
            <w:shd w:val="clear" w:color="auto" w:fill="F2F6F8"/>
            <w:tcMar>
              <w:top w:w="60" w:type="dxa"/>
              <w:left w:w="100" w:type="dxa"/>
              <w:bottom w:w="60" w:type="dxa"/>
              <w:right w:w="100" w:type="dxa"/>
            </w:tcMar>
          </w:tcPr>
          <w:p>
            <w:r>
              <w:rPr>
                <w:rFonts w:ascii="Calibri" w:hAnsi="Calibri" w:eastAsia="Calibri"/>
                <w:b w:val="0"/>
                <w:i w:val="0"/>
                <w:color w:val="0F172A"/>
                <w:sz w:val="18"/>
              </w:rPr>
              <w:t>Programme managers</w:t>
            </w:r>
          </w:p>
        </w:tc>
        <w:tc>
          <w:tcPr>
            <w:tcW w:type="dxa" w:w="1417"/>
            <w:shd w:val="clear" w:color="auto" w:fill="F2F6F8"/>
            <w:tcMar>
              <w:top w:w="60" w:type="dxa"/>
              <w:left w:w="100" w:type="dxa"/>
              <w:bottom w:w="60" w:type="dxa"/>
              <w:right w:w="100" w:type="dxa"/>
            </w:tcMar>
          </w:tcPr>
          <w:p>
            <w:r>
              <w:rPr>
                <w:rFonts w:ascii="Calibri" w:hAnsi="Calibri" w:eastAsia="Calibri"/>
                <w:b w:val="0"/>
                <w:i w:val="0"/>
                <w:color w:val="0F172A"/>
                <w:sz w:val="18"/>
              </w:rPr>
              <w:t>[ ]</w:t>
            </w:r>
          </w:p>
        </w:tc>
        <w:tc>
          <w:tcPr>
            <w:tcW w:type="dxa" w:w="4649"/>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Field staff</w:t>
            </w:r>
          </w:p>
        </w:tc>
        <w:tc>
          <w:tcPr>
            <w:tcW w:type="dxa" w:w="1417"/>
            <w:shd w:val="clear" w:color="auto" w:fill="FFFFFF"/>
            <w:tcMar>
              <w:top w:w="60" w:type="dxa"/>
              <w:left w:w="100" w:type="dxa"/>
              <w:bottom w:w="60" w:type="dxa"/>
              <w:right w:w="100" w:type="dxa"/>
            </w:tcMar>
          </w:tcPr>
          <w:p>
            <w:r>
              <w:rPr>
                <w:rFonts w:ascii="Calibri" w:hAnsi="Calibri" w:eastAsia="Calibri"/>
                <w:b w:val="0"/>
                <w:i w:val="0"/>
                <w:color w:val="0F172A"/>
                <w:sz w:val="18"/>
              </w:rPr>
              <w:t>[ ]</w:t>
            </w:r>
          </w:p>
        </w:tc>
        <w:tc>
          <w:tcPr>
            <w:tcW w:type="dxa" w:w="4649"/>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2948"/>
            <w:shd w:val="clear" w:color="auto" w:fill="F2F6F8"/>
            <w:tcMar>
              <w:top w:w="60" w:type="dxa"/>
              <w:left w:w="100" w:type="dxa"/>
              <w:bottom w:w="60" w:type="dxa"/>
              <w:right w:w="100" w:type="dxa"/>
            </w:tcMar>
          </w:tcPr>
          <w:p>
            <w:r>
              <w:rPr>
                <w:rFonts w:ascii="Calibri" w:hAnsi="Calibri" w:eastAsia="Calibri"/>
                <w:b w:val="0"/>
                <w:i w:val="0"/>
                <w:color w:val="0F172A"/>
                <w:sz w:val="18"/>
              </w:rPr>
              <w:t>Partners and other departments</w:t>
            </w:r>
          </w:p>
        </w:tc>
        <w:tc>
          <w:tcPr>
            <w:tcW w:type="dxa" w:w="1417"/>
            <w:shd w:val="clear" w:color="auto" w:fill="F2F6F8"/>
            <w:tcMar>
              <w:top w:w="60" w:type="dxa"/>
              <w:left w:w="100" w:type="dxa"/>
              <w:bottom w:w="60" w:type="dxa"/>
              <w:right w:w="100" w:type="dxa"/>
            </w:tcMar>
          </w:tcPr>
          <w:p>
            <w:r>
              <w:rPr>
                <w:rFonts w:ascii="Calibri" w:hAnsi="Calibri" w:eastAsia="Calibri"/>
                <w:b w:val="0"/>
                <w:i w:val="0"/>
                <w:color w:val="0F172A"/>
                <w:sz w:val="18"/>
              </w:rPr>
              <w:t>[ ]</w:t>
            </w:r>
          </w:p>
        </w:tc>
        <w:tc>
          <w:tcPr>
            <w:tcW w:type="dxa" w:w="4649"/>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Participants or their representatives</w:t>
            </w:r>
          </w:p>
        </w:tc>
        <w:tc>
          <w:tcPr>
            <w:tcW w:type="dxa" w:w="1417"/>
            <w:shd w:val="clear" w:color="auto" w:fill="FFFFFF"/>
            <w:tcMar>
              <w:top w:w="60" w:type="dxa"/>
              <w:left w:w="100" w:type="dxa"/>
              <w:bottom w:w="60" w:type="dxa"/>
              <w:right w:w="100" w:type="dxa"/>
            </w:tcMar>
          </w:tcPr>
          <w:p>
            <w:r>
              <w:rPr>
                <w:rFonts w:ascii="Calibri" w:hAnsi="Calibri" w:eastAsia="Calibri"/>
                <w:b w:val="0"/>
                <w:i w:val="0"/>
                <w:color w:val="0F172A"/>
                <w:sz w:val="18"/>
              </w:rPr>
              <w:t>[ ]</w:t>
            </w:r>
          </w:p>
        </w:tc>
        <w:tc>
          <w:tcPr>
            <w:tcW w:type="dxa" w:w="4649"/>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Every group that appears in the findings has someone in the room.</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Only senior staff, so field realities never reach the table.</w:t>
            </w:r>
          </w:p>
        </w:tc>
      </w:tr>
    </w:tbl>
    <w:p>
      <w:pPr>
        <w:spacing w:after="40"/>
      </w:pPr>
    </w:p>
    <w:p>
      <w:pPr>
        <w:keepNext/>
        <w:spacing w:before="200" w:after="40" w:line="276" w:lineRule="auto"/>
      </w:pPr>
      <w:r>
        <w:rPr>
          <w:rFonts w:ascii="Calibri" w:hAnsi="Calibri" w:eastAsia="Calibri"/>
          <w:b/>
          <w:i w:val="0"/>
          <w:color w:val="152A49"/>
          <w:sz w:val="23"/>
        </w:rPr>
        <w:t>3.  Materials</w:t>
      </w:r>
    </w:p>
    <w:p>
      <w:r>
        <w:rPr>
          <w:i/>
          <w:sz w:val="18"/>
        </w:rPr>
        <w:t>Sample ends here. The full pack and its worked example arrive clean and fully editable after purchase.</w:t>
      </w:r>
    </w:p>
    <w:sectPr w:rsidR="00FC693F" w:rsidRPr="0006063C" w:rsidSect="00034616">
      <w:foot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5B6776"/>
        <w:sz w:val="15"/>
      </w:rPr>
      <w:t xml:space="preserve">© 2026 ImpactMojo · CC BY-NC-ND 4.0 · impactmojo.in        Page </w:t>
    </w:r>
    <w:r>
      <w:rPr>
        <w:rFonts w:ascii="Calibri" w:hAnsi="Calibri" w:eastAsia="Calibri"/>
        <w:b w:val="0"/>
        <w:i w:val="0"/>
        <w:color w:val="5B6776"/>
        <w:sz w:val="15"/>
      </w:rPr>
      <w:fldChar w:fldCharType="begin"/>
      <w:instrText xml:space="preserve">PAGE</w:instrText>
      <w:fldChar w:fldCharType="separate"/>
      <w:fldChar w:fldCharType="end"/>
    </w:r>
    <w:r>
      <w:rPr>
        <w:rFonts w:ascii="Calibri" w:hAnsi="Calibri" w:eastAsia="Calibri"/>
        <w:b w:val="0"/>
        <w:i w:val="0"/>
        <w:color w:val="5B6776"/>
        <w:sz w:val="15"/>
      </w:rPr>
      <w:t xml:space="preserve"> of </w:t>
    </w:r>
    <w:r>
      <w:rPr>
        <w:rFonts w:ascii="Calibri" w:hAnsi="Calibri" w:eastAsia="Calibri"/>
        <w:b w:val="0"/>
        <w:i w:val="0"/>
        <w:color w:val="5B6776"/>
        <w:sz w:val="15"/>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