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42318"/>
          <w:sz w:val="18"/>
        </w:rPr>
        <w:t>SAMPLE: preview only. This is the opening of the full pack, from impactmojo.in/products/weekly-status-note-template/</w:t>
      </w:r>
    </w:p>
    <w:tbl>
      <w:tblPr>
        <w:tblW w:type="auto" w:w="0"/>
        <w:jc w:val="left"/>
        <w:tblLayout w:type="fixed"/>
        <w:tblLook w:firstColumn="1" w:firstRow="1" w:lastColumn="0" w:lastRow="0" w:noHBand="0" w:noVBand="1" w:val="04A0"/>
        <w:tblLayout w:type="fixed"/>
        <w:tblBorders>
          <w:top w:val="nil" w:space="0"/>
          <w:left w:val="nil" w:space="0"/>
          <w:bottom w:val="nil" w:space="0"/>
          <w:right w:val="nil" w:space="0"/>
          <w:insideH w:val="nil" w:space="0"/>
          <w:insideV w:val="nil" w:space="0"/>
        </w:tblBorders>
      </w:tblPr>
      <w:tblGrid>
        <w:gridCol w:w="9014"/>
      </w:tblGrid>
      <w:tr>
        <w:tc>
          <w:tcPr>
            <w:tcW w:type="dxa" w:w="9014"/>
            <w:shd w:val="clear" w:color="auto" w:fill="152A49"/>
            <w:tcMar>
              <w:top w:w="260" w:type="dxa"/>
              <w:left w:w="320" w:type="dxa"/>
              <w:bottom w:w="260" w:type="dxa"/>
              <w:right w:w="320" w:type="dxa"/>
            </w:tcMar>
          </w:tcPr>
          <w:p>
            <w:pPr>
              <w:spacing w:before="0" w:after="120" w:line="276" w:lineRule="auto"/>
            </w:pPr>
            <w:r>
              <w:rPr>
                <w:rFonts w:ascii="Calibri" w:hAnsi="Calibri" w:eastAsia="Calibri"/>
                <w:b w:val="0"/>
                <w:i w:val="0"/>
                <w:color w:val="AEBDCC"/>
                <w:sz w:val="17"/>
              </w:rPr>
              <w:t>ImpactMojo  ·  Evaluator's Desk</w:t>
            </w:r>
          </w:p>
          <w:p>
            <w:pPr>
              <w:spacing w:before="0" w:after="80" w:line="276" w:lineRule="auto"/>
            </w:pPr>
            <w:r>
              <w:rPr>
                <w:rFonts w:ascii="Calibri" w:hAnsi="Calibri" w:eastAsia="Calibri"/>
                <w:b/>
                <w:i w:val="0"/>
                <w:color w:val="FFFFFF"/>
                <w:sz w:val="40"/>
              </w:rPr>
              <w:t>Weekly Status Note &amp; Escalation Template</w:t>
            </w:r>
          </w:p>
          <w:p>
            <w:pPr>
              <w:spacing w:before="0" w:after="80" w:line="276" w:lineRule="auto"/>
            </w:pPr>
            <w:r>
              <w:rPr>
                <w:rFonts w:ascii="Calibri" w:hAnsi="Calibri" w:eastAsia="Calibri"/>
                <w:b w:val="0"/>
                <w:i w:val="0"/>
                <w:color w:val="0DBEB6"/>
                <w:sz w:val="22"/>
              </w:rPr>
              <w:t>A one-page note the client reads in two minutes, with rules for when amber turns red and who is told</w:t>
            </w:r>
          </w:p>
          <w:p>
            <w:pPr>
              <w:spacing w:before="0" w:after="0" w:line="276" w:lineRule="auto"/>
            </w:pPr>
            <w:r>
              <w:rPr>
                <w:rFonts w:ascii="Calibri" w:hAnsi="Calibri" w:eastAsia="Calibri"/>
                <w:b w:val="0"/>
                <w:i w:val="0"/>
                <w:color w:val="AEBDCC"/>
                <w:sz w:val="17"/>
              </w:rPr>
              <w:t>Template · DOCX · ₹199</w:t>
            </w:r>
          </w:p>
        </w:tc>
      </w:tr>
    </w:tbl>
    <w:p>
      <w:pPr>
        <w:spacing w:before="120" w:after="120" w:line="276" w:lineRule="auto"/>
      </w:pPr>
      <w:r>
        <w:rPr>
          <w:rFonts w:ascii="Calibri" w:hAnsi="Calibri" w:eastAsia="Calibri"/>
          <w:b w:val="0"/>
          <w:i w:val="0"/>
          <w:color w:val="5B6776"/>
          <w:sz w:val="18"/>
        </w:rPr>
        <w:t>Version 1.0   ·   October 2026   ·   Part of the Evaluation Essentials Kit</w:t>
      </w:r>
    </w:p>
    <w:tbl>
      <w:tblPr>
        <w:tblW w:type="auto" w:w="0"/>
        <w:jc w:val="left"/>
        <w:tblLayout w:type="fixed"/>
        <w:tblLook w:firstColumn="1" w:firstRow="1" w:lastColumn="0" w:lastRow="0" w:noHBand="0" w:noVBand="1" w:val="04A0"/>
        <w:tblLayout w:type="fixed"/>
        <w:tblBorders>
          <w:top w:val="single" w:sz="4" w:color="0C8A89" w:space="0"/>
          <w:left w:val="single" w:sz="24" w:color="0C8A89" w:space="0"/>
          <w:bottom w:val="single" w:sz="4" w:color="0C8A89" w:space="0"/>
          <w:right w:val="single" w:sz="4" w:color="0C8A89" w:space="0"/>
          <w:insideH w:val="single" w:sz="4" w:color="0C8A89" w:space="0"/>
          <w:insideV w:val="single" w:sz="4" w:color="0C8A89" w:space="0"/>
        </w:tblBorders>
      </w:tblPr>
      <w:tblGrid>
        <w:gridCol w:w="9014"/>
      </w:tblGrid>
      <w:tr>
        <w:tc>
          <w:tcPr>
            <w:tcW w:type="dxa" w:w="9014"/>
            <w:shd w:val="clear" w:color="auto" w:fill="EAF6F5"/>
            <w:tcMar>
              <w:top w:w="100" w:type="dxa"/>
              <w:left w:w="160" w:type="dxa"/>
              <w:bottom w:w="100" w:type="dxa"/>
              <w:right w:w="160" w:type="dxa"/>
            </w:tcMar>
          </w:tcPr>
          <w:p>
            <w:pPr>
              <w:spacing w:before="0" w:after="60" w:line="276" w:lineRule="auto"/>
            </w:pPr>
            <w:r>
              <w:rPr>
                <w:rFonts w:ascii="Calibri" w:hAnsi="Calibri" w:eastAsia="Calibri"/>
                <w:b/>
                <w:i w:val="0"/>
                <w:color w:val="0C8A89"/>
                <w:sz w:val="17"/>
              </w:rPr>
              <w:t>WHAT IS INSIDE THIS PACK</w:t>
            </w:r>
          </w:p>
          <w:p>
            <w:pPr>
              <w:spacing w:before="0" w:after="60" w:line="276" w:lineRule="auto"/>
            </w:pPr>
            <w:r>
              <w:rPr>
                <w:rFonts w:ascii="Calibri" w:hAnsi="Calibri" w:eastAsia="Calibri"/>
                <w:b/>
                <w:i w:val="0"/>
                <w:color w:val="0F172A"/>
                <w:sz w:val="19"/>
              </w:rPr>
              <w:t>Part A.</w:t>
            </w:r>
            <w:r>
              <w:rPr>
                <w:rFonts w:ascii="Calibri" w:hAnsi="Calibri" w:eastAsia="Calibri"/>
                <w:b w:val="0"/>
                <w:i w:val="0"/>
                <w:color w:val="0F172A"/>
                <w:sz w:val="19"/>
              </w:rPr>
              <w:t xml:space="preserve"> Why a weekly one-pager prevents the surprises that damage a client relationship.</w:t>
            </w:r>
          </w:p>
          <w:p>
            <w:pPr>
              <w:spacing w:before="0" w:after="60" w:line="276" w:lineRule="auto"/>
            </w:pPr>
            <w:r>
              <w:rPr>
                <w:rFonts w:ascii="Calibri" w:hAnsi="Calibri" w:eastAsia="Calibri"/>
                <w:b/>
                <w:i w:val="0"/>
                <w:color w:val="0F172A"/>
                <w:sz w:val="19"/>
              </w:rPr>
              <w:t>Part B.</w:t>
            </w:r>
            <w:r>
              <w:rPr>
                <w:rFonts w:ascii="Calibri" w:hAnsi="Calibri" w:eastAsia="Calibri"/>
                <w:b w:val="0"/>
                <w:i w:val="0"/>
                <w:color w:val="0F172A"/>
                <w:sz w:val="19"/>
              </w:rPr>
              <w:t xml:space="preserve"> The note itself: status lights, done, next, decisions needed, risks, budget and schedule, plus the escalation rules.</w:t>
            </w:r>
          </w:p>
          <w:p>
            <w:pPr>
              <w:spacing w:before="0" w:after="60" w:line="276" w:lineRule="auto"/>
            </w:pPr>
            <w:r>
              <w:rPr>
                <w:rFonts w:ascii="Calibri" w:hAnsi="Calibri" w:eastAsia="Calibri"/>
                <w:b/>
                <w:i w:val="0"/>
                <w:color w:val="0F172A"/>
                <w:sz w:val="19"/>
              </w:rPr>
              <w:t>Part C.</w:t>
            </w:r>
            <w:r>
              <w:rPr>
                <w:rFonts w:ascii="Calibri" w:hAnsi="Calibri" w:eastAsia="Calibri"/>
                <w:b w:val="0"/>
                <w:i w:val="0"/>
                <w:color w:val="0F172A"/>
                <w:sz w:val="19"/>
              </w:rPr>
              <w:t xml:space="preserve"> Reference assets: definitions for red, amber and green, a wording bank, a send checklist and a glossary.</w:t>
            </w:r>
          </w:p>
          <w:p>
            <w:pPr>
              <w:spacing w:before="0" w:after="60" w:line="276" w:lineRule="auto"/>
            </w:pPr>
            <w:r>
              <w:rPr>
                <w:rFonts w:ascii="Calibri" w:hAnsi="Calibri" w:eastAsia="Calibri"/>
                <w:b/>
                <w:i w:val="0"/>
                <w:color w:val="0F172A"/>
                <w:sz w:val="19"/>
              </w:rPr>
              <w:t>Part D.</w:t>
            </w:r>
            <w:r>
              <w:rPr>
                <w:rFonts w:ascii="Calibri" w:hAnsi="Calibri" w:eastAsia="Calibri"/>
                <w:b w:val="0"/>
                <w:i w:val="0"/>
                <w:color w:val="0F172A"/>
                <w:sz w:val="19"/>
              </w:rPr>
              <w:t xml:space="preserve"> A worked example: weeks 4 and 5 of a 13-week evaluation, the same case used across the ImpactMojo kit.</w:t>
            </w:r>
          </w:p>
        </w:tc>
      </w:tr>
    </w:tbl>
    <w:p>
      <w:pPr>
        <w:spacing w:after="40"/>
      </w:pPr>
    </w:p>
    <w:p>
      <w:pPr>
        <w:spacing w:before="0" w:after="80" w:line="276" w:lineRule="auto"/>
      </w:pPr>
      <w:r>
        <w:rPr>
          <w:rFonts w:ascii="Calibri" w:hAnsi="Calibri" w:eastAsia="Calibri"/>
          <w:b w:val="0"/>
          <w:i w:val="0"/>
          <w:color w:val="5B6776"/>
          <w:sz w:val="19"/>
        </w:rPr>
        <w:t>Replace every [bracketed prompt]. The note is one page. If it runs longer, the detail belongs in an attachment and the note should link to it. A client reads the top third carefully, so put the lights and the decisions you need there.</w:t>
      </w:r>
    </w:p>
    <w:p>
      <w:pPr>
        <w:keepNext/>
        <w:spacing w:before="280" w:after="0" w:line="276" w:lineRule="auto"/>
      </w:pPr>
      <w:r>
        <w:rPr>
          <w:rFonts w:ascii="Calibri" w:hAnsi="Calibri" w:eastAsia="Calibri"/>
          <w:b/>
          <w:i w:val="0"/>
          <w:color w:val="0C8A89"/>
          <w:sz w:val="18"/>
        </w:rPr>
        <w:t>PART A</w:t>
      </w:r>
    </w:p>
    <w:p>
      <w:pPr>
        <w:keepNext/>
        <w:spacing w:before="0" w:after="120" w:line="276" w:lineRule="auto"/>
      </w:pPr>
      <w:r>
        <w:rPr>
          <w:rFonts w:ascii="Calibri" w:hAnsi="Calibri" w:eastAsia="Calibri"/>
          <w:b/>
          <w:i w:val="0"/>
          <w:color w:val="152A49"/>
          <w:sz w:val="32"/>
        </w:rPr>
        <w:t>Why a weekly one-pager</w:t>
      </w:r>
    </w:p>
    <w:p>
      <w:pPr>
        <w:spacing w:before="0" w:after="100" w:line="276" w:lineRule="auto"/>
      </w:pPr>
      <w:r>
        <w:rPr>
          <w:rFonts w:ascii="Calibri" w:hAnsi="Calibri" w:eastAsia="Calibri"/>
          <w:b w:val="0"/>
          <w:i w:val="0"/>
          <w:color w:val="0F172A"/>
          <w:sz w:val="21"/>
        </w:rPr>
        <w:t>Clients are rarely angry about bad news. They are angry about news that arrives late. A weekly note sends the news while it is still small: a field team that is a week behind, an extract that has not come, a budget line that is running hot. Each item is easy to fix in week four and expensive to explain in week twelve.</w:t>
      </w:r>
    </w:p>
    <w:p>
      <w:pPr>
        <w:spacing w:before="0" w:after="100" w:line="276" w:lineRule="auto"/>
      </w:pPr>
      <w:r>
        <w:rPr>
          <w:rFonts w:ascii="Calibri" w:hAnsi="Calibri" w:eastAsia="Calibri"/>
          <w:b w:val="0"/>
          <w:i w:val="0"/>
          <w:color w:val="0F172A"/>
          <w:sz w:val="21"/>
        </w:rPr>
        <w:t>A good note does four things. It shows the state of the work in three lights. It says what was done and what comes next in plain verbs. It asks for the decisions you need, with a date. And it states risks and the escalation step when one turns red. The note is short because both sides will read it.</w:t>
      </w:r>
    </w:p>
    <w:p>
      <w:pPr>
        <w:spacing w:before="0" w:after="100" w:line="276" w:lineRule="auto"/>
      </w:pPr>
      <w:r>
        <w:rPr>
          <w:rFonts w:ascii="Calibri" w:hAnsi="Calibri" w:eastAsia="Calibri"/>
          <w:b w:val="0"/>
          <w:i w:val="0"/>
          <w:color w:val="0F172A"/>
          <w:sz w:val="21"/>
        </w:rPr>
        <w:t>Three habits keep it useful:</w:t>
      </w:r>
    </w:p>
    <w:p>
      <w:pPr>
        <w:pStyle w:val="ListBullet"/>
        <w:spacing w:before="0" w:after="40" w:line="276" w:lineRule="auto"/>
      </w:pPr>
      <w:r>
        <w:rPr>
          <w:rFonts w:ascii="Calibri" w:hAnsi="Calibri" w:eastAsia="Calibri"/>
          <w:b w:val="0"/>
          <w:i w:val="0"/>
          <w:color w:val="0F172A"/>
          <w:sz w:val="21"/>
        </w:rPr>
        <w:t>Send it at the same time every week, even when there is nothing to report.</w:t>
      </w:r>
    </w:p>
    <w:p>
      <w:pPr>
        <w:pStyle w:val="ListBullet"/>
        <w:spacing w:before="0" w:after="40" w:line="276" w:lineRule="auto"/>
      </w:pPr>
      <w:r>
        <w:rPr>
          <w:rFonts w:ascii="Calibri" w:hAnsi="Calibri" w:eastAsia="Calibri"/>
          <w:b w:val="0"/>
          <w:i w:val="0"/>
          <w:color w:val="0F172A"/>
          <w:sz w:val="21"/>
        </w:rPr>
        <w:t>Say 'amber' as soon as you see a risk, and not when it has happened.</w:t>
      </w:r>
    </w:p>
    <w:p>
      <w:pPr>
        <w:pStyle w:val="ListBullet"/>
        <w:spacing w:before="0" w:after="40" w:line="276" w:lineRule="auto"/>
      </w:pPr>
      <w:r>
        <w:rPr>
          <w:rFonts w:ascii="Calibri" w:hAnsi="Calibri" w:eastAsia="Calibri"/>
          <w:b w:val="0"/>
          <w:i w:val="0"/>
          <w:color w:val="0F172A"/>
          <w:sz w:val="21"/>
        </w:rPr>
        <w:t>Ask for one decision per line, with the date you need it.</w:t>
      </w:r>
    </w:p>
    <w:p>
      <w:pPr>
        <w:keepNext/>
        <w:spacing w:before="280" w:after="0" w:line="276" w:lineRule="auto"/>
      </w:pPr>
      <w:r>
        <w:rPr>
          <w:rFonts w:ascii="Calibri" w:hAnsi="Calibri" w:eastAsia="Calibri"/>
          <w:b/>
          <w:i w:val="0"/>
          <w:color w:val="0C8A89"/>
          <w:sz w:val="18"/>
        </w:rPr>
        <w:t>PART B</w:t>
      </w:r>
    </w:p>
    <w:p>
      <w:pPr>
        <w:keepNext/>
        <w:spacing w:before="0" w:after="120" w:line="276" w:lineRule="auto"/>
      </w:pPr>
      <w:r>
        <w:rPr>
          <w:rFonts w:ascii="Calibri" w:hAnsi="Calibri" w:eastAsia="Calibri"/>
          <w:b/>
          <w:i w:val="0"/>
          <w:color w:val="152A49"/>
          <w:sz w:val="32"/>
        </w:rPr>
        <w:t>The note</w:t>
      </w:r>
    </w:p>
    <w:p>
      <w:pPr>
        <w:keepNext/>
        <w:spacing w:before="200" w:after="40" w:line="276" w:lineRule="auto"/>
      </w:pPr>
      <w:r>
        <w:rPr>
          <w:rFonts w:ascii="Calibri" w:hAnsi="Calibri" w:eastAsia="Calibri"/>
          <w:b/>
          <w:i w:val="0"/>
          <w:color w:val="152A49"/>
          <w:sz w:val="23"/>
        </w:rPr>
        <w:t>1.  Header and status lights</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Show in ten seconds whether the work is on track.</w:t>
      </w:r>
    </w:p>
    <w:p>
      <w:pPr>
        <w:spacing w:before="0" w:after="80" w:line="276" w:lineRule="auto"/>
      </w:pPr>
      <w:r>
        <w:rPr>
          <w:rFonts w:ascii="Calibri" w:hAnsi="Calibri" w:eastAsia="Calibri"/>
          <w:b w:val="0"/>
          <w:i w:val="0"/>
          <w:color w:val="5B6776"/>
          <w:sz w:val="19"/>
        </w:rPr>
        <w:t>Use three lights: schedule, budget and quality. Use the definitions in Part C so that red means the same thing every week. Add one overall light only if you can defend it.</w:t>
      </w:r>
    </w:p>
    <w:tbl>
      <w:tblPr>
        <w:tblW w:type="auto" w:w="0"/>
        <w:jc w:val="left"/>
        <w:tblLayout w:type="fixed"/>
        <w:tblLook w:firstColumn="1" w:firstRow="1" w:lastColumn="0" w:lastRow="0" w:noHBand="0" w:noVBand="1" w:val="04A0"/>
        <w:tblLayout w:type="fixed"/>
        <w:tblBorders>
          <w:top w:val="single" w:sz="4" w:color="C9D2DD" w:space="0"/>
          <w:left w:val="single" w:sz="4" w:color="C9D2DD" w:space="0"/>
          <w:bottom w:val="single" w:sz="4" w:color="C9D2DD" w:space="0"/>
          <w:right w:val="single" w:sz="4" w:color="C9D2DD" w:space="0"/>
          <w:insideH w:val="single" w:sz="4" w:color="C9D2DD" w:space="0"/>
          <w:insideV w:val="single" w:sz="4" w:color="C9D2DD" w:space="0"/>
        </w:tblBorders>
      </w:tblPr>
      <w:tblGrid>
        <w:gridCol w:w="2948"/>
        <w:gridCol w:w="6066"/>
      </w:tblGrid>
      <w:tr>
        <w:trPr>
          <w:tblHeader w:val="true"/>
        </w:trPr>
        <w:tc>
          <w:tcPr>
            <w:tcW w:type="dxa" w:w="2948"/>
            <w:shd w:val="clear" w:color="auto" w:fill="152A49"/>
            <w:tcMar>
              <w:top w:w="70" w:type="dxa"/>
              <w:left w:w="100" w:type="dxa"/>
              <w:bottom w:w="70" w:type="dxa"/>
              <w:right w:w="100" w:type="dxa"/>
            </w:tcMar>
          </w:tcPr>
          <w:p>
            <w:r>
              <w:rPr>
                <w:rFonts w:ascii="Calibri" w:hAnsi="Calibri" w:eastAsia="Calibri"/>
                <w:b/>
                <w:i w:val="0"/>
                <w:color w:val="FFFFFF"/>
                <w:sz w:val="19"/>
              </w:rPr>
              <w:t>Field</w:t>
            </w:r>
          </w:p>
        </w:tc>
        <w:tc>
          <w:tcPr>
            <w:tcW w:type="dxa" w:w="6066"/>
            <w:shd w:val="clear" w:color="auto" w:fill="152A49"/>
            <w:tcMar>
              <w:top w:w="70" w:type="dxa"/>
              <w:left w:w="100" w:type="dxa"/>
              <w:bottom w:w="70" w:type="dxa"/>
              <w:right w:w="100" w:type="dxa"/>
            </w:tcMar>
          </w:tcPr>
          <w:p>
            <w:r>
              <w:rPr>
                <w:rFonts w:ascii="Calibri" w:hAnsi="Calibri" w:eastAsia="Calibri"/>
                <w:b/>
                <w:i w:val="0"/>
                <w:color w:val="FFFFFF"/>
                <w:sz w:val="19"/>
              </w:rPr>
              <w:t>Entry</w:t>
            </w:r>
          </w:p>
        </w:tc>
      </w:tr>
      <w:tr>
        <w:tc>
          <w:tcPr>
            <w:tcW w:type="dxa" w:w="2948"/>
            <w:shd w:val="clear" w:color="auto" w:fill="FFFFFF"/>
            <w:tcMar>
              <w:top w:w="60" w:type="dxa"/>
              <w:left w:w="100" w:type="dxa"/>
              <w:bottom w:w="60" w:type="dxa"/>
              <w:right w:w="100" w:type="dxa"/>
            </w:tcMar>
          </w:tcPr>
          <w:p>
            <w:r>
              <w:rPr>
                <w:rFonts w:ascii="Calibri" w:hAnsi="Calibri" w:eastAsia="Calibri"/>
                <w:b w:val="0"/>
                <w:i w:val="0"/>
                <w:color w:val="0F172A"/>
                <w:sz w:val="18"/>
              </w:rPr>
              <w:t>Assignment and week</w:t>
            </w:r>
          </w:p>
        </w:tc>
        <w:tc>
          <w:tcPr>
            <w:tcW w:type="dxa" w:w="6066"/>
            <w:shd w:val="clear" w:color="auto" w:fill="FFFFFF"/>
            <w:tcMar>
              <w:top w:w="60" w:type="dxa"/>
              <w:left w:w="100" w:type="dxa"/>
              <w:bottom w:w="60" w:type="dxa"/>
              <w:right w:w="100" w:type="dxa"/>
            </w:tcMar>
          </w:tcPr>
          <w:p>
            <w:r>
              <w:rPr>
                <w:rFonts w:ascii="Calibri" w:hAnsi="Calibri" w:eastAsia="Calibri"/>
                <w:b w:val="0"/>
                <w:i w:val="0"/>
                <w:color w:val="0F172A"/>
                <w:sz w:val="18"/>
              </w:rPr>
              <w:t>[Title, week [ ] of [ ], dates]</w:t>
            </w:r>
          </w:p>
        </w:tc>
      </w:tr>
      <w:tr>
        <w:tc>
          <w:tcPr>
            <w:tcW w:type="dxa" w:w="2948"/>
            <w:shd w:val="clear" w:color="auto" w:fill="F2F6F8"/>
            <w:tcMar>
              <w:top w:w="60" w:type="dxa"/>
              <w:left w:w="100" w:type="dxa"/>
              <w:bottom w:w="60" w:type="dxa"/>
              <w:right w:w="100" w:type="dxa"/>
            </w:tcMar>
          </w:tcPr>
          <w:p>
            <w:r>
              <w:rPr>
                <w:rFonts w:ascii="Calibri" w:hAnsi="Calibri" w:eastAsia="Calibri"/>
                <w:b w:val="0"/>
                <w:i w:val="0"/>
                <w:color w:val="0F172A"/>
                <w:sz w:val="18"/>
              </w:rPr>
              <w:t>Prepared by and date</w:t>
            </w:r>
          </w:p>
        </w:tc>
        <w:tc>
          <w:tcPr>
            <w:tcW w:type="dxa" w:w="6066"/>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2948"/>
            <w:shd w:val="clear" w:color="auto" w:fill="FFFFFF"/>
            <w:tcMar>
              <w:top w:w="60" w:type="dxa"/>
              <w:left w:w="100" w:type="dxa"/>
              <w:bottom w:w="60" w:type="dxa"/>
              <w:right w:w="100" w:type="dxa"/>
            </w:tcMar>
          </w:tcPr>
          <w:p>
            <w:r>
              <w:rPr>
                <w:rFonts w:ascii="Calibri" w:hAnsi="Calibri" w:eastAsia="Calibri"/>
                <w:b w:val="0"/>
                <w:i w:val="0"/>
                <w:color w:val="0F172A"/>
                <w:sz w:val="18"/>
              </w:rPr>
              <w:t>Schedule</w:t>
            </w:r>
          </w:p>
        </w:tc>
        <w:tc>
          <w:tcPr>
            <w:tcW w:type="dxa" w:w="6066"/>
            <w:shd w:val="clear" w:color="auto" w:fill="FFFFFF"/>
            <w:tcMar>
              <w:top w:w="60" w:type="dxa"/>
              <w:left w:w="100" w:type="dxa"/>
              <w:bottom w:w="60" w:type="dxa"/>
              <w:right w:w="100" w:type="dxa"/>
            </w:tcMar>
          </w:tcPr>
          <w:p>
            <w:r>
              <w:rPr>
                <w:rFonts w:ascii="Calibri" w:hAnsi="Calibri" w:eastAsia="Calibri"/>
                <w:b w:val="0"/>
                <w:i w:val="0"/>
                <w:color w:val="0F172A"/>
                <w:sz w:val="18"/>
              </w:rPr>
              <w:t>[Green, amber or red] [one line]</w:t>
            </w:r>
          </w:p>
        </w:tc>
      </w:tr>
      <w:tr>
        <w:tc>
          <w:tcPr>
            <w:tcW w:type="dxa" w:w="2948"/>
            <w:shd w:val="clear" w:color="auto" w:fill="F2F6F8"/>
            <w:tcMar>
              <w:top w:w="60" w:type="dxa"/>
              <w:left w:w="100" w:type="dxa"/>
              <w:bottom w:w="60" w:type="dxa"/>
              <w:right w:w="100" w:type="dxa"/>
            </w:tcMar>
          </w:tcPr>
          <w:p>
            <w:r>
              <w:rPr>
                <w:rFonts w:ascii="Calibri" w:hAnsi="Calibri" w:eastAsia="Calibri"/>
                <w:b w:val="0"/>
                <w:i w:val="0"/>
                <w:color w:val="0F172A"/>
                <w:sz w:val="18"/>
              </w:rPr>
              <w:t>Budget</w:t>
            </w:r>
          </w:p>
        </w:tc>
        <w:tc>
          <w:tcPr>
            <w:tcW w:type="dxa" w:w="6066"/>
            <w:shd w:val="clear" w:color="auto" w:fill="F2F6F8"/>
            <w:tcMar>
              <w:top w:w="60" w:type="dxa"/>
              <w:left w:w="100" w:type="dxa"/>
              <w:bottom w:w="60" w:type="dxa"/>
              <w:right w:w="100" w:type="dxa"/>
            </w:tcMar>
          </w:tcPr>
          <w:p>
            <w:r>
              <w:rPr>
                <w:rFonts w:ascii="Calibri" w:hAnsi="Calibri" w:eastAsia="Calibri"/>
                <w:b w:val="0"/>
                <w:i w:val="0"/>
                <w:color w:val="0F172A"/>
                <w:sz w:val="18"/>
              </w:rPr>
              <w:t>[Green, amber or red] [one line]</w:t>
            </w:r>
          </w:p>
        </w:tc>
      </w:tr>
      <w:tr>
        <w:tc>
          <w:tcPr>
            <w:tcW w:type="dxa" w:w="2948"/>
            <w:shd w:val="clear" w:color="auto" w:fill="FFFFFF"/>
            <w:tcMar>
              <w:top w:w="60" w:type="dxa"/>
              <w:left w:w="100" w:type="dxa"/>
              <w:bottom w:w="60" w:type="dxa"/>
              <w:right w:w="100" w:type="dxa"/>
            </w:tcMar>
          </w:tcPr>
          <w:p>
            <w:r>
              <w:rPr>
                <w:rFonts w:ascii="Calibri" w:hAnsi="Calibri" w:eastAsia="Calibri"/>
                <w:b w:val="0"/>
                <w:i w:val="0"/>
                <w:color w:val="0F172A"/>
                <w:sz w:val="18"/>
              </w:rPr>
              <w:t>Quality and access</w:t>
            </w:r>
          </w:p>
        </w:tc>
        <w:tc>
          <w:tcPr>
            <w:tcW w:type="dxa" w:w="6066"/>
            <w:shd w:val="clear" w:color="auto" w:fill="FFFFFF"/>
            <w:tcMar>
              <w:top w:w="60" w:type="dxa"/>
              <w:left w:w="100" w:type="dxa"/>
              <w:bottom w:w="60" w:type="dxa"/>
              <w:right w:w="100" w:type="dxa"/>
            </w:tcMar>
          </w:tcPr>
          <w:p>
            <w:r>
              <w:rPr>
                <w:rFonts w:ascii="Calibri" w:hAnsi="Calibri" w:eastAsia="Calibri"/>
                <w:b w:val="0"/>
                <w:i w:val="0"/>
                <w:color w:val="0F172A"/>
                <w:sz w:val="18"/>
              </w:rPr>
              <w:t>[Green, amber or red] [one line]</w:t>
            </w:r>
          </w:p>
        </w:tc>
      </w:tr>
    </w:tbl>
    <w:p>
      <w:pPr>
        <w:spacing w:after="40"/>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14"/>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Each light has one line of reason, and the reason gives the cause.</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14"/>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Three greens every week until the week the work fails. Honest ambers build trust.</w:t>
            </w:r>
          </w:p>
        </w:tc>
      </w:tr>
    </w:tbl>
    <w:p>
      <w:pPr>
        <w:spacing w:after="40"/>
      </w:pPr>
    </w:p>
    <w:p>
      <w:pPr>
        <w:keepNext/>
        <w:spacing w:before="200" w:after="40" w:line="276" w:lineRule="auto"/>
      </w:pPr>
      <w:r>
        <w:rPr>
          <w:rFonts w:ascii="Calibri" w:hAnsi="Calibri" w:eastAsia="Calibri"/>
          <w:b/>
          <w:i w:val="0"/>
          <w:color w:val="152A49"/>
          <w:sz w:val="23"/>
        </w:rPr>
        <w:t>2.  Done this week</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List what was finished, in verbs the client can check.</w:t>
      </w:r>
    </w:p>
    <w:p>
      <w:pPr>
        <w:spacing w:before="0" w:after="80" w:line="276" w:lineRule="auto"/>
      </w:pPr>
      <w:r>
        <w:rPr>
          <w:rFonts w:ascii="Calibri" w:hAnsi="Calibri" w:eastAsia="Calibri"/>
          <w:b w:val="0"/>
          <w:i w:val="0"/>
          <w:color w:val="5B6776"/>
          <w:sz w:val="19"/>
        </w:rPr>
        <w:t>Write each item as an outcome: 'Completed 62 of 120 household interviews', and not 'Fieldwork continued'. Give a number where one exists.</w:t>
      </w:r>
    </w:p>
    <w:p>
      <w:pPr>
        <w:pBdr>
          <w:bottom w:val="single" w:sz="4" w:space="1" w:color="C9D2DD"/>
        </w:pBdr>
        <w:spacing w:before="0" w:after="160" w:line="276" w:lineRule="auto"/>
      </w:pPr>
    </w:p>
    <w:p>
      <w:pPr>
        <w:pBdr>
          <w:bottom w:val="single" w:sz="4" w:space="1" w:color="C9D2DD"/>
        </w:pBdr>
        <w:spacing w:before="0" w:after="160" w:line="276" w:lineRule="auto"/>
      </w:pPr>
    </w:p>
    <w:p>
      <w:pPr>
        <w:pBdr>
          <w:bottom w:val="single" w:sz="4" w:space="1" w:color="C9D2DD"/>
        </w:pBdr>
        <w:spacing w:before="0" w:after="160" w:line="276" w:lineRule="auto"/>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14"/>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Every line could be checked by someone who was not there.</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14"/>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'Worked on the inception report.' It says nothing about progress.</w:t>
            </w:r>
          </w:p>
        </w:tc>
      </w:tr>
    </w:tbl>
    <w:p>
      <w:pPr>
        <w:spacing w:after="40"/>
      </w:pPr>
    </w:p>
    <w:p>
      <w:r>
        <w:rPr>
          <w:i/>
          <w:sz w:val="18"/>
        </w:rPr>
        <w:t>Sample ends here. The full pack and its worked example arrive clean and fully editable after purchase.</w:t>
      </w:r>
    </w:p>
    <w:sectPr w:rsidR="00FC693F" w:rsidRPr="0006063C" w:rsidSect="00034616">
      <w:footerReference w:type="default" r:id="rId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eastAsia="Calibri"/>
        <w:b w:val="0"/>
        <w:i w:val="0"/>
        <w:color w:val="5B6776"/>
        <w:sz w:val="15"/>
      </w:rPr>
      <w:t xml:space="preserve">© 2026 ImpactMojo · CC BY-NC-ND 4.0 · impactmojo.in        Page </w:t>
    </w:r>
    <w:r>
      <w:rPr>
        <w:rFonts w:ascii="Calibri" w:hAnsi="Calibri" w:eastAsia="Calibri"/>
        <w:b w:val="0"/>
        <w:i w:val="0"/>
        <w:color w:val="5B6776"/>
        <w:sz w:val="15"/>
      </w:rPr>
      <w:fldChar w:fldCharType="begin"/>
      <w:instrText xml:space="preserve">PAGE</w:instrText>
      <w:fldChar w:fldCharType="separate"/>
      <w:fldChar w:fldCharType="end"/>
    </w:r>
    <w:r>
      <w:rPr>
        <w:rFonts w:ascii="Calibri" w:hAnsi="Calibri" w:eastAsia="Calibri"/>
        <w:b w:val="0"/>
        <w:i w:val="0"/>
        <w:color w:val="5B6776"/>
        <w:sz w:val="15"/>
      </w:rPr>
      <w:t xml:space="preserve"> of </w:t>
    </w:r>
    <w:r>
      <w:rPr>
        <w:rFonts w:ascii="Calibri" w:hAnsi="Calibri" w:eastAsia="Calibri"/>
        <w:b w:val="0"/>
        <w:i w:val="0"/>
        <w:color w:val="5B6776"/>
        <w:sz w:val="15"/>
      </w:rPr>
      <w:fldChar w:fldCharType="begin"/>
      <w:instrText xml:space="preserve">NUMPAGES</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